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E8" w:rsidRDefault="008370E8" w:rsidP="00722ACD">
      <w:pPr>
        <w:ind w:right="-2"/>
        <w:rPr>
          <w:rFonts w:asciiTheme="minorHAnsi" w:hAnsiTheme="minorHAnsi"/>
        </w:rPr>
      </w:pPr>
      <w:r w:rsidRPr="00624567">
        <w:rPr>
          <w:rFonts w:asciiTheme="minorHAnsi" w:hAnsiTheme="minorHAnsi"/>
        </w:rPr>
        <w:t xml:space="preserve">Komunikat prasowy       </w:t>
      </w:r>
      <w:r w:rsidR="00310571">
        <w:rPr>
          <w:rFonts w:asciiTheme="minorHAnsi" w:hAnsiTheme="minorHAnsi"/>
        </w:rPr>
        <w:t xml:space="preserve">                                                     </w:t>
      </w:r>
      <w:r w:rsidRPr="00624567">
        <w:rPr>
          <w:rFonts w:asciiTheme="minorHAnsi" w:hAnsiTheme="minorHAnsi"/>
        </w:rPr>
        <w:t xml:space="preserve">          </w:t>
      </w:r>
      <w:r>
        <w:rPr>
          <w:rFonts w:asciiTheme="minorHAnsi" w:hAnsiTheme="minorHAnsi"/>
        </w:rPr>
        <w:t xml:space="preserve">                   </w:t>
      </w:r>
      <w:r w:rsidRPr="00624567">
        <w:rPr>
          <w:rFonts w:asciiTheme="minorHAnsi" w:hAnsiTheme="minorHAnsi"/>
        </w:rPr>
        <w:t xml:space="preserve">                </w:t>
      </w:r>
      <w:r>
        <w:rPr>
          <w:rFonts w:asciiTheme="minorHAnsi" w:hAnsiTheme="minorHAnsi"/>
        </w:rPr>
        <w:t xml:space="preserve">  </w:t>
      </w:r>
      <w:r w:rsidRPr="00624567">
        <w:rPr>
          <w:rFonts w:asciiTheme="minorHAnsi" w:hAnsiTheme="minorHAnsi"/>
        </w:rPr>
        <w:t xml:space="preserve">  </w:t>
      </w:r>
      <w:r w:rsidR="00F53D6A">
        <w:rPr>
          <w:rFonts w:asciiTheme="minorHAnsi" w:hAnsiTheme="minorHAnsi"/>
        </w:rPr>
        <w:t xml:space="preserve">    </w:t>
      </w:r>
      <w:r w:rsidRPr="00624567">
        <w:rPr>
          <w:rFonts w:asciiTheme="minorHAnsi" w:hAnsiTheme="minorHAnsi"/>
        </w:rPr>
        <w:t xml:space="preserve">    </w:t>
      </w:r>
      <w:r w:rsidR="00722ACD">
        <w:rPr>
          <w:rFonts w:asciiTheme="minorHAnsi" w:hAnsiTheme="minorHAnsi"/>
        </w:rPr>
        <w:t xml:space="preserve">       </w:t>
      </w:r>
      <w:r w:rsidRPr="00624567">
        <w:rPr>
          <w:rFonts w:asciiTheme="minorHAnsi" w:hAnsiTheme="minorHAnsi"/>
        </w:rPr>
        <w:t xml:space="preserve">Warszawa, </w:t>
      </w:r>
      <w:r w:rsidR="00646DA2">
        <w:rPr>
          <w:rFonts w:asciiTheme="minorHAnsi" w:hAnsiTheme="minorHAnsi"/>
        </w:rPr>
        <w:t>02.10</w:t>
      </w:r>
      <w:r w:rsidRPr="00624567">
        <w:rPr>
          <w:rFonts w:asciiTheme="minorHAnsi" w:hAnsiTheme="minorHAnsi"/>
        </w:rPr>
        <w:t>.2017</w:t>
      </w:r>
    </w:p>
    <w:p w:rsidR="008370E8" w:rsidRDefault="008370E8" w:rsidP="008E2D1A">
      <w:pPr>
        <w:pStyle w:val="Nagwek1"/>
        <w:spacing w:before="0" w:line="240" w:lineRule="auto"/>
        <w:ind w:left="-567" w:right="-569"/>
        <w:jc w:val="center"/>
        <w:rPr>
          <w:color w:val="2B4785"/>
        </w:rPr>
      </w:pPr>
    </w:p>
    <w:p w:rsidR="007F0B71" w:rsidRDefault="007F0B71" w:rsidP="008E2D1A"/>
    <w:p w:rsidR="00A225B0" w:rsidRDefault="00A225B0" w:rsidP="008E2D1A"/>
    <w:p w:rsidR="00677B2A" w:rsidRPr="00677B2A" w:rsidRDefault="00677B2A" w:rsidP="00677B2A">
      <w:pPr>
        <w:jc w:val="center"/>
        <w:rPr>
          <w:rFonts w:ascii="Cambria" w:hAnsi="Cambria"/>
          <w:b/>
          <w:bCs/>
          <w:color w:val="2B4785"/>
          <w:sz w:val="28"/>
          <w:szCs w:val="28"/>
        </w:rPr>
      </w:pPr>
      <w:r w:rsidRPr="00677B2A">
        <w:rPr>
          <w:rFonts w:ascii="Cambria" w:hAnsi="Cambria"/>
          <w:b/>
          <w:bCs/>
          <w:color w:val="2B4785"/>
          <w:sz w:val="28"/>
          <w:szCs w:val="28"/>
        </w:rPr>
        <w:t xml:space="preserve">Oświadczenie zespołu ekspertów Fundacji im. Stefana Batorego </w:t>
      </w:r>
      <w:r>
        <w:rPr>
          <w:rFonts w:ascii="Cambria" w:hAnsi="Cambria"/>
          <w:b/>
          <w:bCs/>
          <w:color w:val="2B4785"/>
          <w:sz w:val="28"/>
          <w:szCs w:val="28"/>
        </w:rPr>
        <w:br/>
      </w:r>
      <w:r w:rsidRPr="00677B2A">
        <w:rPr>
          <w:rFonts w:ascii="Cambria" w:hAnsi="Cambria"/>
          <w:b/>
          <w:bCs/>
          <w:color w:val="2B4785"/>
          <w:sz w:val="28"/>
          <w:szCs w:val="28"/>
        </w:rPr>
        <w:t>w sprawie wzoru kart do głosowania</w:t>
      </w:r>
    </w:p>
    <w:p w:rsidR="00147041" w:rsidRPr="00B15117" w:rsidRDefault="00147041" w:rsidP="008E2D1A">
      <w:pPr>
        <w:pStyle w:val="Nagwek1"/>
        <w:spacing w:before="0" w:line="240" w:lineRule="auto"/>
        <w:ind w:left="-567" w:right="-569"/>
        <w:jc w:val="center"/>
        <w:rPr>
          <w:color w:val="2B4785"/>
        </w:rPr>
      </w:pPr>
    </w:p>
    <w:p w:rsidR="00147041" w:rsidRPr="002D4490" w:rsidRDefault="00147041" w:rsidP="008E2D1A">
      <w:pPr>
        <w:spacing w:after="120"/>
        <w:jc w:val="center"/>
      </w:pPr>
    </w:p>
    <w:p w:rsidR="00677B2A" w:rsidRDefault="00677B2A" w:rsidP="00033F05">
      <w:pPr>
        <w:jc w:val="both"/>
        <w:rPr>
          <w:b/>
          <w:sz w:val="24"/>
          <w:szCs w:val="24"/>
        </w:rPr>
      </w:pPr>
      <w:r w:rsidRPr="00677B2A">
        <w:rPr>
          <w:rFonts w:ascii="Cambria" w:hAnsi="Cambria"/>
          <w:b/>
          <w:sz w:val="22"/>
          <w:szCs w:val="22"/>
        </w:rPr>
        <w:t>W związku z opublikowaniem przez Państwową Komisję Wyborczą raportu z wynikami konsultacji w spra</w:t>
      </w:r>
      <w:r w:rsidR="00A536F7">
        <w:rPr>
          <w:rFonts w:ascii="Cambria" w:hAnsi="Cambria"/>
          <w:b/>
          <w:sz w:val="22"/>
          <w:szCs w:val="22"/>
        </w:rPr>
        <w:t xml:space="preserve">wie wyglądu kart do głosowania </w:t>
      </w:r>
      <w:r w:rsidRPr="00677B2A">
        <w:rPr>
          <w:rFonts w:ascii="Cambria" w:hAnsi="Cambria"/>
          <w:b/>
          <w:sz w:val="22"/>
          <w:szCs w:val="22"/>
        </w:rPr>
        <w:t>eksperci zwracają uwagę, że testowano jedynie dwa wzory kart – broszurę i jednostronnie zadrukowaną „płachtę” w formacie A0  (118,9 cmx 84,1 cm) czyli wielkości ściennej mapy. PKW nie uwzględniła propozycji ekspertów, aby uczestnicy konsultacji mogli wypróbować również karty w mniejszym for</w:t>
      </w:r>
      <w:r w:rsidR="00A536F7">
        <w:rPr>
          <w:rFonts w:ascii="Cambria" w:hAnsi="Cambria"/>
          <w:b/>
          <w:sz w:val="22"/>
          <w:szCs w:val="22"/>
        </w:rPr>
        <w:t>macie. W tej sytuacji nie dziwi fakt, iż</w:t>
      </w:r>
      <w:r w:rsidRPr="00677B2A">
        <w:rPr>
          <w:rFonts w:ascii="Cambria" w:hAnsi="Cambria"/>
          <w:b/>
          <w:sz w:val="22"/>
          <w:szCs w:val="22"/>
        </w:rPr>
        <w:t xml:space="preserve"> większość osób za wygodniejszą uznała kartę w formie broszury. Jednak wyniki takiego plebiscytu nie są wystarczającą podstawą do podjęcia decyzji o formacie kart. Potrzebne są dalsze prace nad optymalną wersj</w:t>
      </w:r>
      <w:r w:rsidR="00A536F7">
        <w:rPr>
          <w:rFonts w:ascii="Cambria" w:hAnsi="Cambria"/>
          <w:b/>
          <w:sz w:val="22"/>
          <w:szCs w:val="22"/>
        </w:rPr>
        <w:t>ą</w:t>
      </w:r>
      <w:r w:rsidRPr="00677B2A">
        <w:rPr>
          <w:rFonts w:ascii="Cambria" w:hAnsi="Cambria"/>
          <w:b/>
          <w:sz w:val="22"/>
          <w:szCs w:val="22"/>
        </w:rPr>
        <w:t xml:space="preserve"> kart</w:t>
      </w:r>
      <w:r>
        <w:rPr>
          <w:b/>
          <w:sz w:val="24"/>
          <w:szCs w:val="24"/>
        </w:rPr>
        <w:t>.</w:t>
      </w:r>
    </w:p>
    <w:p w:rsidR="00677B2A" w:rsidRDefault="00677B2A" w:rsidP="00033F05">
      <w:pPr>
        <w:jc w:val="both"/>
        <w:rPr>
          <w:b/>
          <w:sz w:val="24"/>
          <w:szCs w:val="24"/>
        </w:rPr>
      </w:pPr>
    </w:p>
    <w:p w:rsidR="00677B2A" w:rsidRPr="00677B2A" w:rsidRDefault="00677B2A" w:rsidP="00033F05">
      <w:pPr>
        <w:jc w:val="both"/>
        <w:rPr>
          <w:rFonts w:ascii="Cambria" w:eastAsia="Calibri" w:hAnsi="Cambria"/>
          <w:sz w:val="22"/>
          <w:szCs w:val="22"/>
          <w:lang w:eastAsia="en-US"/>
        </w:rPr>
      </w:pPr>
      <w:r w:rsidRPr="00677B2A">
        <w:rPr>
          <w:rFonts w:ascii="Cambria" w:eastAsia="Calibri" w:hAnsi="Cambria"/>
          <w:sz w:val="22"/>
          <w:szCs w:val="22"/>
          <w:lang w:eastAsia="en-US"/>
        </w:rPr>
        <w:t>Eksperci, którzy badali przyczyny dużej liczby nieważnych głosów w wyborach do sejmików województw w 2014 roku rekomendowali  odejście od kart zbroszurowanych na rzecz kart „płacht”. Jednostronnie zadrukowana karta w sposób czytelny prezentuje pełny zakres wyboru. Jej zastosowanie przyczyni się do ograni</w:t>
      </w:r>
      <w:r w:rsidR="00A536F7">
        <w:rPr>
          <w:rFonts w:ascii="Cambria" w:eastAsia="Calibri" w:hAnsi="Cambria"/>
          <w:sz w:val="22"/>
          <w:szCs w:val="22"/>
          <w:lang w:eastAsia="en-US"/>
        </w:rPr>
        <w:t>czenia liczby głosów nieważnych</w:t>
      </w:r>
      <w:r w:rsidRPr="00677B2A">
        <w:rPr>
          <w:rFonts w:ascii="Cambria" w:eastAsia="Calibri" w:hAnsi="Cambria"/>
          <w:sz w:val="22"/>
          <w:szCs w:val="22"/>
          <w:lang w:eastAsia="en-US"/>
        </w:rPr>
        <w:t xml:space="preserve"> albo oddanych przez pomyłkę na inną listę niż wyborca zamierzał. Co więcej, zapewni tajność głosowania wyborcom niewidomym i niedowidzącym.</w:t>
      </w:r>
    </w:p>
    <w:p w:rsidR="00677B2A" w:rsidRPr="00677B2A" w:rsidRDefault="00677B2A" w:rsidP="00033F05">
      <w:pPr>
        <w:spacing w:before="100" w:beforeAutospacing="1" w:after="100" w:afterAutospacing="1"/>
        <w:jc w:val="both"/>
        <w:rPr>
          <w:rFonts w:ascii="Cambria" w:eastAsia="Calibri" w:hAnsi="Cambria"/>
          <w:sz w:val="22"/>
          <w:szCs w:val="22"/>
          <w:lang w:eastAsia="en-US"/>
        </w:rPr>
      </w:pPr>
      <w:r w:rsidRPr="00677B2A">
        <w:rPr>
          <w:rFonts w:ascii="Cambria" w:eastAsia="Calibri" w:hAnsi="Cambria"/>
          <w:sz w:val="22"/>
          <w:szCs w:val="22"/>
          <w:lang w:eastAsia="en-US"/>
        </w:rPr>
        <w:t xml:space="preserve">Przepisy Kodeksu wyborczego (art.40) wskazują jasno, że </w:t>
      </w:r>
      <w:r w:rsidRPr="00A536F7">
        <w:rPr>
          <w:rFonts w:ascii="Cambria" w:eastAsia="Calibri" w:hAnsi="Cambria"/>
          <w:b/>
          <w:sz w:val="22"/>
          <w:szCs w:val="22"/>
          <w:lang w:eastAsia="en-US"/>
        </w:rPr>
        <w:t>podstawową formą jest karta jednostronna, a „broszurę” można stosować tylko wyjątkowo</w:t>
      </w:r>
      <w:r w:rsidRPr="00677B2A">
        <w:rPr>
          <w:rFonts w:ascii="Cambria" w:eastAsia="Calibri" w:hAnsi="Cambria"/>
          <w:sz w:val="22"/>
          <w:szCs w:val="22"/>
          <w:lang w:eastAsia="en-US"/>
        </w:rPr>
        <w:t xml:space="preserve">: w przypadku, gdy opracowanie lub wykonanie jednostronnej karty do głosowania nie jest możliwe lub powodowałoby znaczne trudności w posługiwaniu się tą kartą. </w:t>
      </w:r>
    </w:p>
    <w:p w:rsidR="00677B2A" w:rsidRDefault="00677B2A" w:rsidP="00033F05">
      <w:pPr>
        <w:jc w:val="both"/>
        <w:rPr>
          <w:rFonts w:ascii="Cambria" w:eastAsia="Calibri" w:hAnsi="Cambria"/>
          <w:sz w:val="22"/>
          <w:szCs w:val="22"/>
          <w:lang w:eastAsia="en-US"/>
        </w:rPr>
      </w:pPr>
      <w:r w:rsidRPr="00677B2A">
        <w:rPr>
          <w:rFonts w:ascii="Cambria" w:eastAsia="Calibri" w:hAnsi="Cambria"/>
          <w:sz w:val="22"/>
          <w:szCs w:val="22"/>
          <w:lang w:eastAsia="en-US"/>
        </w:rPr>
        <w:t>W oparciu o dane z 2014 roku eksperci wyliczyli, że znacznie poręczniejszy format A2 czyli o wymiarach 42 cm x 59.4 cm (wykorzystany w pionie lub poziomie w zależności od liczby i długości list kandydatów), mógłby być zastosowany w  minimum 95,6 % okręgów wyborczych (a gdyby minimalnie zmniejszyć czcionkę i odstępy między wierszami, to nawet w 98,8%). W</w:t>
      </w:r>
      <w:r w:rsidR="00A536F7">
        <w:rPr>
          <w:rFonts w:ascii="Cambria" w:eastAsia="Calibri" w:hAnsi="Cambria"/>
          <w:sz w:val="22"/>
          <w:szCs w:val="22"/>
          <w:lang w:eastAsia="en-US"/>
        </w:rPr>
        <w:t xml:space="preserve"> niewielkim procencie okręgów, </w:t>
      </w:r>
      <w:r w:rsidRPr="00677B2A">
        <w:rPr>
          <w:rFonts w:ascii="Cambria" w:eastAsia="Calibri" w:hAnsi="Cambria"/>
          <w:sz w:val="22"/>
          <w:szCs w:val="22"/>
          <w:lang w:eastAsia="en-US"/>
        </w:rPr>
        <w:t>głównie wielkomiejskich, gdzie jest wiele list i wielu kandydatów, można byłoby stosować poprawione, przyjaźniejsze dla wyborców i zaopatrzone w jasną instrukcję karty-broszury. We współpracy z grafikami zespół przygotował odpowiednie wzory i przekazał do PKW.</w:t>
      </w:r>
    </w:p>
    <w:p w:rsidR="00677B2A" w:rsidRDefault="00677B2A" w:rsidP="00033F05">
      <w:pPr>
        <w:jc w:val="both"/>
        <w:rPr>
          <w:rFonts w:ascii="Cambria" w:eastAsia="Calibri" w:hAnsi="Cambria"/>
          <w:sz w:val="22"/>
          <w:szCs w:val="22"/>
          <w:lang w:eastAsia="en-US"/>
        </w:rPr>
      </w:pPr>
    </w:p>
    <w:p w:rsidR="00677B2A" w:rsidRPr="00677B2A" w:rsidRDefault="00677B2A" w:rsidP="00033F05">
      <w:pPr>
        <w:jc w:val="both"/>
        <w:rPr>
          <w:rFonts w:ascii="Cambria" w:hAnsi="Cambria"/>
          <w:b/>
          <w:sz w:val="22"/>
          <w:szCs w:val="22"/>
        </w:rPr>
      </w:pPr>
      <w:r w:rsidRPr="00677B2A">
        <w:rPr>
          <w:rFonts w:ascii="Cambria" w:hAnsi="Cambria"/>
          <w:b/>
          <w:sz w:val="22"/>
          <w:szCs w:val="22"/>
        </w:rPr>
        <w:t>Stosowanie różnych formatów  kart w różnych okręgach wyborczych jest zgodne z przepisami</w:t>
      </w:r>
    </w:p>
    <w:p w:rsidR="00677B2A" w:rsidRPr="004C135C" w:rsidRDefault="00677B2A" w:rsidP="00033F05">
      <w:pPr>
        <w:jc w:val="both"/>
        <w:rPr>
          <w:color w:val="000000"/>
          <w:sz w:val="24"/>
          <w:szCs w:val="24"/>
        </w:rPr>
      </w:pPr>
    </w:p>
    <w:p w:rsidR="00677B2A" w:rsidRPr="004C135C" w:rsidRDefault="00677B2A" w:rsidP="00033F05">
      <w:pPr>
        <w:jc w:val="both"/>
        <w:rPr>
          <w:color w:val="000000"/>
          <w:sz w:val="24"/>
          <w:szCs w:val="24"/>
        </w:rPr>
      </w:pPr>
      <w:r w:rsidRPr="004C135C">
        <w:rPr>
          <w:color w:val="000000"/>
          <w:sz w:val="24"/>
          <w:szCs w:val="24"/>
        </w:rPr>
        <w:t xml:space="preserve">Żaden przepis Kodeksu wyborczego nie wyklucza takiego </w:t>
      </w:r>
      <w:r w:rsidR="00033F05">
        <w:rPr>
          <w:color w:val="000000"/>
          <w:sz w:val="24"/>
          <w:szCs w:val="24"/>
        </w:rPr>
        <w:t xml:space="preserve">rozwiązania. Różne formaty kart </w:t>
      </w:r>
      <w:r w:rsidRPr="004C135C">
        <w:rPr>
          <w:color w:val="000000"/>
          <w:sz w:val="24"/>
          <w:szCs w:val="24"/>
        </w:rPr>
        <w:t xml:space="preserve">do głosowania zastosowano </w:t>
      </w:r>
      <w:r>
        <w:rPr>
          <w:color w:val="000000"/>
          <w:sz w:val="24"/>
          <w:szCs w:val="24"/>
        </w:rPr>
        <w:t xml:space="preserve">w </w:t>
      </w:r>
      <w:r w:rsidRPr="004C135C">
        <w:rPr>
          <w:color w:val="000000"/>
          <w:sz w:val="24"/>
          <w:szCs w:val="24"/>
        </w:rPr>
        <w:t>wybor</w:t>
      </w:r>
      <w:r>
        <w:rPr>
          <w:color w:val="000000"/>
          <w:sz w:val="24"/>
          <w:szCs w:val="24"/>
        </w:rPr>
        <w:t>ach</w:t>
      </w:r>
      <w:r w:rsidRPr="004C135C">
        <w:rPr>
          <w:color w:val="000000"/>
          <w:sz w:val="24"/>
          <w:szCs w:val="24"/>
        </w:rPr>
        <w:t xml:space="preserve"> samorządowych </w:t>
      </w:r>
      <w:r>
        <w:rPr>
          <w:color w:val="000000"/>
          <w:sz w:val="24"/>
          <w:szCs w:val="24"/>
        </w:rPr>
        <w:t xml:space="preserve">w </w:t>
      </w:r>
      <w:r w:rsidRPr="004C135C">
        <w:rPr>
          <w:color w:val="000000"/>
          <w:sz w:val="24"/>
          <w:szCs w:val="24"/>
        </w:rPr>
        <w:t xml:space="preserve">2010 </w:t>
      </w:r>
      <w:r>
        <w:rPr>
          <w:color w:val="000000"/>
          <w:sz w:val="24"/>
          <w:szCs w:val="24"/>
        </w:rPr>
        <w:t xml:space="preserve">roku </w:t>
      </w:r>
      <w:r w:rsidRPr="004C135C">
        <w:rPr>
          <w:color w:val="000000"/>
          <w:sz w:val="24"/>
          <w:szCs w:val="24"/>
        </w:rPr>
        <w:t xml:space="preserve">(książeczka tylko w </w:t>
      </w:r>
      <w:r w:rsidRPr="004C135C">
        <w:rPr>
          <w:color w:val="000000"/>
          <w:sz w:val="24"/>
          <w:szCs w:val="24"/>
        </w:rPr>
        <w:lastRenderedPageBreak/>
        <w:t xml:space="preserve">woj. mazowieckim). Nie ma prawnych przeszkód, by takie rozwiązanie stosować w przyszłości.  Zmniejszenie liczby okręgów, w których </w:t>
      </w:r>
      <w:r w:rsidR="00A536F7">
        <w:rPr>
          <w:color w:val="000000"/>
          <w:sz w:val="24"/>
          <w:szCs w:val="24"/>
        </w:rPr>
        <w:t>wyborcy dostaną do rąk broszurę</w:t>
      </w:r>
      <w:r w:rsidRPr="004C135C">
        <w:rPr>
          <w:color w:val="000000"/>
          <w:sz w:val="24"/>
          <w:szCs w:val="24"/>
        </w:rPr>
        <w:t xml:space="preserve"> to sposób na ograniczenie liczby nieważnych głosów. Taki wniosek wynika z badania kart do głosowania z wyborów do sejmików województw </w:t>
      </w:r>
      <w:r>
        <w:rPr>
          <w:color w:val="000000"/>
          <w:sz w:val="24"/>
          <w:szCs w:val="24"/>
        </w:rPr>
        <w:t xml:space="preserve">w </w:t>
      </w:r>
      <w:r w:rsidRPr="004C135C">
        <w:rPr>
          <w:color w:val="000000"/>
          <w:sz w:val="24"/>
          <w:szCs w:val="24"/>
        </w:rPr>
        <w:t>2014</w:t>
      </w:r>
      <w:r>
        <w:rPr>
          <w:color w:val="000000"/>
          <w:sz w:val="24"/>
          <w:szCs w:val="24"/>
        </w:rPr>
        <w:t xml:space="preserve"> roku, podczas których ponad 2,5 mln osób </w:t>
      </w:r>
      <w:r w:rsidRPr="004C135C">
        <w:rPr>
          <w:color w:val="000000"/>
          <w:sz w:val="24"/>
          <w:szCs w:val="24"/>
        </w:rPr>
        <w:t>oddało głos nieważny</w:t>
      </w:r>
      <w:r>
        <w:rPr>
          <w:color w:val="000000"/>
          <w:sz w:val="24"/>
          <w:szCs w:val="24"/>
        </w:rPr>
        <w:t>.</w:t>
      </w:r>
    </w:p>
    <w:p w:rsidR="00677B2A" w:rsidRPr="004C135C" w:rsidRDefault="00677B2A" w:rsidP="00033F05">
      <w:pPr>
        <w:jc w:val="both"/>
        <w:rPr>
          <w:color w:val="000000"/>
          <w:sz w:val="24"/>
          <w:szCs w:val="24"/>
        </w:rPr>
      </w:pPr>
      <w:r w:rsidRPr="004C135C">
        <w:rPr>
          <w:color w:val="000000"/>
          <w:sz w:val="24"/>
          <w:szCs w:val="24"/>
        </w:rPr>
        <w:t> </w:t>
      </w:r>
    </w:p>
    <w:p w:rsidR="00677B2A" w:rsidRPr="004C135C" w:rsidRDefault="00677B2A" w:rsidP="00033F05">
      <w:pPr>
        <w:jc w:val="both"/>
        <w:rPr>
          <w:b/>
          <w:color w:val="000000"/>
          <w:sz w:val="24"/>
          <w:szCs w:val="24"/>
        </w:rPr>
      </w:pPr>
    </w:p>
    <w:p w:rsidR="00677B2A" w:rsidRPr="00677B2A" w:rsidRDefault="00677B2A" w:rsidP="00033F05">
      <w:pPr>
        <w:jc w:val="both"/>
        <w:rPr>
          <w:rFonts w:ascii="Cambria" w:hAnsi="Cambria"/>
          <w:b/>
          <w:sz w:val="22"/>
          <w:szCs w:val="22"/>
        </w:rPr>
      </w:pPr>
      <w:r w:rsidRPr="00677B2A">
        <w:rPr>
          <w:rFonts w:ascii="Cambria" w:hAnsi="Cambria"/>
          <w:b/>
          <w:sz w:val="22"/>
          <w:szCs w:val="22"/>
        </w:rPr>
        <w:t>Wprowadzenie różnych formatów karty nie utrudni przygotowania materiałów wyborczych</w:t>
      </w:r>
    </w:p>
    <w:p w:rsidR="00677B2A" w:rsidRPr="004C135C" w:rsidRDefault="00677B2A" w:rsidP="00033F05">
      <w:pPr>
        <w:jc w:val="both"/>
        <w:rPr>
          <w:color w:val="000000"/>
          <w:sz w:val="24"/>
          <w:szCs w:val="24"/>
        </w:rPr>
      </w:pPr>
    </w:p>
    <w:p w:rsidR="00677B2A" w:rsidRPr="00677B2A" w:rsidRDefault="00677B2A" w:rsidP="00033F05">
      <w:pPr>
        <w:jc w:val="both"/>
        <w:rPr>
          <w:rFonts w:ascii="Cambria" w:eastAsia="Calibri" w:hAnsi="Cambria"/>
          <w:sz w:val="22"/>
          <w:szCs w:val="22"/>
          <w:lang w:eastAsia="en-US"/>
        </w:rPr>
      </w:pPr>
      <w:r w:rsidRPr="00677B2A">
        <w:rPr>
          <w:rFonts w:ascii="Cambria" w:eastAsia="Calibri" w:hAnsi="Cambria"/>
          <w:sz w:val="22"/>
          <w:szCs w:val="22"/>
          <w:lang w:eastAsia="en-US"/>
        </w:rPr>
        <w:t xml:space="preserve">Decyzja o tym, jaka karta będzie użyta w danym obwodzie może być podejmowana w delegaturach Krajowego Biura Wyborczego na podstawie liczby zgłoszonych list oraz ich długości. Będzie następowała w momencie zamknięcia zgłoszeń list - nie jest to dodatkowa komplikacja, bo przecież karty do głosowania i tak można drukować dopiero po ostatecznym zgłoszeniu kandydatów. Warto zaznaczyć, że druk płacht będzie znacznie tańszy. </w:t>
      </w:r>
    </w:p>
    <w:p w:rsidR="00677B2A" w:rsidRPr="004C135C" w:rsidRDefault="00677B2A" w:rsidP="00033F05">
      <w:pPr>
        <w:jc w:val="both"/>
        <w:rPr>
          <w:color w:val="000000"/>
          <w:sz w:val="24"/>
          <w:szCs w:val="24"/>
        </w:rPr>
      </w:pPr>
    </w:p>
    <w:p w:rsidR="00677B2A" w:rsidRPr="004C135C" w:rsidRDefault="00677B2A" w:rsidP="00033F05">
      <w:pPr>
        <w:jc w:val="both"/>
        <w:rPr>
          <w:color w:val="000000"/>
          <w:sz w:val="24"/>
          <w:szCs w:val="24"/>
        </w:rPr>
      </w:pPr>
      <w:r w:rsidRPr="004C135C">
        <w:rPr>
          <w:color w:val="000000"/>
          <w:sz w:val="24"/>
          <w:szCs w:val="24"/>
        </w:rPr>
        <w:t> </w:t>
      </w:r>
    </w:p>
    <w:p w:rsidR="00677B2A" w:rsidRPr="00677B2A" w:rsidRDefault="00677B2A" w:rsidP="00033F05">
      <w:pPr>
        <w:jc w:val="both"/>
        <w:rPr>
          <w:rFonts w:ascii="Cambria" w:hAnsi="Cambria"/>
          <w:b/>
          <w:sz w:val="22"/>
          <w:szCs w:val="22"/>
        </w:rPr>
      </w:pPr>
      <w:r w:rsidRPr="00677B2A">
        <w:rPr>
          <w:rFonts w:ascii="Cambria" w:hAnsi="Cambria"/>
          <w:b/>
          <w:sz w:val="22"/>
          <w:szCs w:val="22"/>
        </w:rPr>
        <w:t>Przygotowanie nakładek  dla osób niedowidzących  na karty w różnych formatach nie oznacza gigantycznych  kosztów</w:t>
      </w:r>
    </w:p>
    <w:p w:rsidR="00677B2A" w:rsidRPr="004C135C" w:rsidRDefault="00677B2A" w:rsidP="00033F05">
      <w:pPr>
        <w:jc w:val="both"/>
        <w:rPr>
          <w:b/>
          <w:bCs/>
          <w:color w:val="000000"/>
          <w:sz w:val="24"/>
          <w:szCs w:val="24"/>
        </w:rPr>
      </w:pPr>
    </w:p>
    <w:p w:rsidR="00677B2A" w:rsidRPr="00677B2A" w:rsidRDefault="00677B2A" w:rsidP="00033F05">
      <w:pPr>
        <w:jc w:val="both"/>
        <w:rPr>
          <w:rFonts w:ascii="Cambria" w:eastAsia="Calibri" w:hAnsi="Cambria"/>
          <w:sz w:val="22"/>
          <w:szCs w:val="22"/>
          <w:lang w:eastAsia="en-US"/>
        </w:rPr>
      </w:pPr>
      <w:r w:rsidRPr="00677B2A">
        <w:rPr>
          <w:rFonts w:ascii="Cambria" w:eastAsia="Calibri" w:hAnsi="Cambria"/>
          <w:sz w:val="22"/>
          <w:szCs w:val="22"/>
          <w:lang w:eastAsia="en-US"/>
        </w:rPr>
        <w:t>Wystarczy przygotować dwie wersje nakładki.  Na podstawie danych z poprz</w:t>
      </w:r>
      <w:r w:rsidR="00F82964">
        <w:rPr>
          <w:rFonts w:ascii="Cambria" w:eastAsia="Calibri" w:hAnsi="Cambria"/>
          <w:sz w:val="22"/>
          <w:szCs w:val="22"/>
          <w:lang w:eastAsia="en-US"/>
        </w:rPr>
        <w:t xml:space="preserve">ednich wyborów łatwo oszacować </w:t>
      </w:r>
      <w:r w:rsidRPr="00677B2A">
        <w:rPr>
          <w:rFonts w:ascii="Cambria" w:eastAsia="Calibri" w:hAnsi="Cambria"/>
          <w:sz w:val="22"/>
          <w:szCs w:val="22"/>
          <w:lang w:eastAsia="en-US"/>
        </w:rPr>
        <w:t>w jakim mniej więcej procencie obwodów (i w których) będzie potrzebna dana wersja. Ze względu na niedokładność sza</w:t>
      </w:r>
      <w:r w:rsidR="00F82964">
        <w:rPr>
          <w:rFonts w:ascii="Cambria" w:eastAsia="Calibri" w:hAnsi="Cambria"/>
          <w:sz w:val="22"/>
          <w:szCs w:val="22"/>
          <w:lang w:eastAsia="en-US"/>
        </w:rPr>
        <w:t>cunków</w:t>
      </w:r>
      <w:r w:rsidRPr="00677B2A">
        <w:rPr>
          <w:rFonts w:ascii="Cambria" w:eastAsia="Calibri" w:hAnsi="Cambria"/>
          <w:sz w:val="22"/>
          <w:szCs w:val="22"/>
          <w:lang w:eastAsia="en-US"/>
        </w:rPr>
        <w:t xml:space="preserve"> trzeba będzie przygotować pewną rezerwę nakładek obu typów</w:t>
      </w:r>
      <w:r w:rsidR="00F82964">
        <w:rPr>
          <w:rFonts w:ascii="Cambria" w:eastAsia="Calibri" w:hAnsi="Cambria"/>
          <w:sz w:val="22"/>
          <w:szCs w:val="22"/>
          <w:lang w:eastAsia="en-US"/>
        </w:rPr>
        <w:t>. J</w:t>
      </w:r>
      <w:r w:rsidRPr="00677B2A">
        <w:rPr>
          <w:rFonts w:ascii="Cambria" w:eastAsia="Calibri" w:hAnsi="Cambria"/>
          <w:sz w:val="22"/>
          <w:szCs w:val="22"/>
          <w:lang w:eastAsia="en-US"/>
        </w:rPr>
        <w:t>ednak dodatkowe koszty będą stanowiły niewielką część kosztów produkcji nakładek.</w:t>
      </w:r>
    </w:p>
    <w:p w:rsidR="00677B2A" w:rsidRPr="00677B2A" w:rsidRDefault="00677B2A" w:rsidP="00033F05">
      <w:pPr>
        <w:jc w:val="both"/>
        <w:rPr>
          <w:rFonts w:ascii="Cambria" w:eastAsia="Calibri" w:hAnsi="Cambria"/>
          <w:sz w:val="22"/>
          <w:szCs w:val="22"/>
          <w:lang w:eastAsia="en-US"/>
        </w:rPr>
      </w:pPr>
      <w:r w:rsidRPr="00677B2A">
        <w:rPr>
          <w:rFonts w:ascii="Cambria" w:eastAsia="Calibri" w:hAnsi="Cambria"/>
          <w:sz w:val="22"/>
          <w:szCs w:val="22"/>
          <w:lang w:eastAsia="en-US"/>
        </w:rPr>
        <w:t> </w:t>
      </w:r>
    </w:p>
    <w:p w:rsidR="00677B2A" w:rsidRPr="00677B2A" w:rsidRDefault="00677B2A" w:rsidP="00033F05">
      <w:pPr>
        <w:jc w:val="both"/>
        <w:rPr>
          <w:rFonts w:ascii="Cambria" w:eastAsia="Calibri" w:hAnsi="Cambria"/>
          <w:sz w:val="22"/>
          <w:szCs w:val="22"/>
          <w:lang w:eastAsia="en-US"/>
        </w:rPr>
      </w:pPr>
      <w:r w:rsidRPr="00677B2A">
        <w:rPr>
          <w:rFonts w:ascii="Cambria" w:eastAsia="Calibri" w:hAnsi="Cambria"/>
          <w:sz w:val="22"/>
          <w:szCs w:val="22"/>
          <w:lang w:eastAsia="en-US"/>
        </w:rPr>
        <w:t>Koszt wysyłki pakietu do głosowania korespondencyjnego z większą nakładką na kartę „płachtę” również nie jest problemem. Na podstawie doświad</w:t>
      </w:r>
      <w:r w:rsidR="00F82964">
        <w:rPr>
          <w:rFonts w:ascii="Cambria" w:eastAsia="Calibri" w:hAnsi="Cambria"/>
          <w:sz w:val="22"/>
          <w:szCs w:val="22"/>
          <w:lang w:eastAsia="en-US"/>
        </w:rPr>
        <w:t>czeń z lat ubiegłych wiadomo, iż</w:t>
      </w:r>
      <w:r w:rsidRPr="00677B2A">
        <w:rPr>
          <w:rFonts w:ascii="Cambria" w:eastAsia="Calibri" w:hAnsi="Cambria"/>
          <w:sz w:val="22"/>
          <w:szCs w:val="22"/>
          <w:lang w:eastAsia="en-US"/>
        </w:rPr>
        <w:t xml:space="preserve"> liczba wyborców</w:t>
      </w:r>
      <w:r w:rsidR="00F82964">
        <w:rPr>
          <w:rFonts w:ascii="Cambria" w:eastAsia="Calibri" w:hAnsi="Cambria"/>
          <w:sz w:val="22"/>
          <w:szCs w:val="22"/>
          <w:lang w:eastAsia="en-US"/>
        </w:rPr>
        <w:t>, która występuje o taki pakiet</w:t>
      </w:r>
      <w:r w:rsidRPr="00677B2A">
        <w:rPr>
          <w:rFonts w:ascii="Cambria" w:eastAsia="Calibri" w:hAnsi="Cambria"/>
          <w:sz w:val="22"/>
          <w:szCs w:val="22"/>
          <w:lang w:eastAsia="en-US"/>
        </w:rPr>
        <w:t xml:space="preserve"> w skali kraju nie przekroczy kilkuset osób (prawdopodobnie n</w:t>
      </w:r>
      <w:r w:rsidR="00F82964">
        <w:rPr>
          <w:rFonts w:ascii="Cambria" w:eastAsia="Calibri" w:hAnsi="Cambria"/>
          <w:sz w:val="22"/>
          <w:szCs w:val="22"/>
          <w:lang w:eastAsia="en-US"/>
        </w:rPr>
        <w:t>ie osiągnie nawet setki). Nawet</w:t>
      </w:r>
      <w:r w:rsidRPr="00677B2A">
        <w:rPr>
          <w:rFonts w:ascii="Cambria" w:eastAsia="Calibri" w:hAnsi="Cambria"/>
          <w:sz w:val="22"/>
          <w:szCs w:val="22"/>
          <w:lang w:eastAsia="en-US"/>
        </w:rPr>
        <w:t xml:space="preserve"> gdyby wysyłka dużych nakładek kosztowała </w:t>
      </w:r>
      <w:r w:rsidR="00F82964">
        <w:rPr>
          <w:rFonts w:ascii="Cambria" w:eastAsia="Calibri" w:hAnsi="Cambria"/>
          <w:sz w:val="22"/>
          <w:szCs w:val="22"/>
          <w:lang w:eastAsia="en-US"/>
        </w:rPr>
        <w:t>kilkadziesiąt złotych za sztukę</w:t>
      </w:r>
      <w:r w:rsidRPr="00677B2A">
        <w:rPr>
          <w:rFonts w:ascii="Cambria" w:eastAsia="Calibri" w:hAnsi="Cambria"/>
          <w:sz w:val="22"/>
          <w:szCs w:val="22"/>
          <w:lang w:eastAsia="en-US"/>
        </w:rPr>
        <w:t xml:space="preserve"> wydatek będzie niezauważalny w budżecie wyborów.</w:t>
      </w:r>
    </w:p>
    <w:p w:rsidR="00677B2A" w:rsidRPr="004C135C" w:rsidRDefault="00677B2A" w:rsidP="00033F05">
      <w:pPr>
        <w:jc w:val="both"/>
        <w:rPr>
          <w:color w:val="000000"/>
          <w:sz w:val="24"/>
          <w:szCs w:val="24"/>
        </w:rPr>
      </w:pPr>
      <w:r w:rsidRPr="004C135C">
        <w:rPr>
          <w:color w:val="000000"/>
          <w:sz w:val="24"/>
          <w:szCs w:val="24"/>
        </w:rPr>
        <w:t> </w:t>
      </w:r>
    </w:p>
    <w:p w:rsidR="00677B2A" w:rsidRPr="004C135C" w:rsidRDefault="00677B2A" w:rsidP="00033F05">
      <w:pPr>
        <w:jc w:val="both"/>
        <w:rPr>
          <w:color w:val="000000"/>
          <w:sz w:val="24"/>
          <w:szCs w:val="24"/>
        </w:rPr>
      </w:pPr>
      <w:r w:rsidRPr="004C135C">
        <w:rPr>
          <w:color w:val="000000"/>
          <w:sz w:val="24"/>
          <w:szCs w:val="24"/>
        </w:rPr>
        <w:t> </w:t>
      </w:r>
    </w:p>
    <w:p w:rsidR="00677B2A" w:rsidRPr="00677B2A" w:rsidRDefault="00677B2A" w:rsidP="00033F05">
      <w:pPr>
        <w:jc w:val="both"/>
        <w:rPr>
          <w:rFonts w:ascii="Cambria" w:hAnsi="Cambria"/>
          <w:b/>
          <w:sz w:val="22"/>
          <w:szCs w:val="22"/>
        </w:rPr>
      </w:pPr>
      <w:r w:rsidRPr="00677B2A">
        <w:rPr>
          <w:rFonts w:ascii="Cambria" w:hAnsi="Cambria"/>
          <w:b/>
          <w:sz w:val="22"/>
          <w:szCs w:val="22"/>
        </w:rPr>
        <w:t>Różne wzory kart to nie jest przeszkoda dla ogólnopolskiej kampanii  informacyjnej</w:t>
      </w:r>
    </w:p>
    <w:p w:rsidR="00677B2A" w:rsidRPr="004C135C" w:rsidRDefault="00677B2A" w:rsidP="00033F05">
      <w:pPr>
        <w:jc w:val="both"/>
        <w:rPr>
          <w:color w:val="000000"/>
          <w:sz w:val="24"/>
          <w:szCs w:val="24"/>
        </w:rPr>
      </w:pPr>
    </w:p>
    <w:p w:rsidR="00677B2A" w:rsidRPr="00677B2A" w:rsidRDefault="00677B2A" w:rsidP="00033F05">
      <w:pPr>
        <w:jc w:val="both"/>
        <w:rPr>
          <w:rFonts w:ascii="Cambria" w:eastAsia="Calibri" w:hAnsi="Cambria"/>
          <w:sz w:val="22"/>
          <w:szCs w:val="22"/>
          <w:lang w:eastAsia="en-US"/>
        </w:rPr>
      </w:pPr>
      <w:r w:rsidRPr="00677B2A">
        <w:rPr>
          <w:rFonts w:ascii="Cambria" w:eastAsia="Calibri" w:hAnsi="Cambria"/>
          <w:sz w:val="22"/>
          <w:szCs w:val="22"/>
          <w:lang w:eastAsia="en-US"/>
        </w:rPr>
        <w:t>Sposób głosowania w wyborach samorządowych jest bardzo zróżnicowany. Karty w wyborach do rad gmin są inne w dużych miastach, inne w małych i na wsi. Część ludzi głosuje na radę powiatu, część nie, a w Warszawie do rad dzielnic. Wyborca dostaje do ręki 3 lub 4 różne karty, na których oddaje głosy wedle różnych zasad. W tej sytuacji wprowadzenie dwóch formatów karty w wyborach do sejmików niewiele zmienia. Przy takiej „mieszance” nie uda się także zrobić jednego, uniwersalnego spotu telewizyjnego ”jak głosować”. Ogólnopolska kampania informacyjna musi stawiać sobie inny c</w:t>
      </w:r>
      <w:r w:rsidR="00F82964">
        <w:rPr>
          <w:rFonts w:ascii="Cambria" w:eastAsia="Calibri" w:hAnsi="Cambria"/>
          <w:sz w:val="22"/>
          <w:szCs w:val="22"/>
          <w:lang w:eastAsia="en-US"/>
        </w:rPr>
        <w:t>el – przede wszystkim wskazywać</w:t>
      </w:r>
      <w:r w:rsidRPr="00677B2A">
        <w:rPr>
          <w:rFonts w:ascii="Cambria" w:eastAsia="Calibri" w:hAnsi="Cambria"/>
          <w:sz w:val="22"/>
          <w:szCs w:val="22"/>
          <w:lang w:eastAsia="en-US"/>
        </w:rPr>
        <w:t xml:space="preserve"> jakie organy wybieramy i jaka jest ich funkcja. </w:t>
      </w:r>
    </w:p>
    <w:p w:rsidR="00677B2A" w:rsidRPr="004C135C" w:rsidRDefault="00677B2A" w:rsidP="00033F05">
      <w:pPr>
        <w:jc w:val="both"/>
        <w:rPr>
          <w:color w:val="000000"/>
          <w:sz w:val="24"/>
          <w:szCs w:val="24"/>
        </w:rPr>
      </w:pPr>
    </w:p>
    <w:p w:rsidR="00677B2A" w:rsidRPr="004C135C" w:rsidRDefault="00677B2A" w:rsidP="00033F05">
      <w:pPr>
        <w:jc w:val="both"/>
        <w:rPr>
          <w:color w:val="000000"/>
          <w:sz w:val="24"/>
          <w:szCs w:val="24"/>
        </w:rPr>
      </w:pPr>
    </w:p>
    <w:p w:rsidR="00677B2A" w:rsidRPr="00677B2A" w:rsidRDefault="00677B2A" w:rsidP="00033F05">
      <w:pPr>
        <w:jc w:val="both"/>
        <w:rPr>
          <w:rFonts w:ascii="Cambria" w:eastAsia="Calibri" w:hAnsi="Cambria"/>
          <w:sz w:val="22"/>
          <w:szCs w:val="22"/>
          <w:lang w:eastAsia="en-US"/>
        </w:rPr>
      </w:pPr>
      <w:r w:rsidRPr="00677B2A">
        <w:rPr>
          <w:rFonts w:ascii="Cambria" w:hAnsi="Cambria"/>
          <w:b/>
          <w:sz w:val="22"/>
          <w:szCs w:val="22"/>
        </w:rPr>
        <w:t>Reasumując,</w:t>
      </w:r>
      <w:r w:rsidRPr="004C135C">
        <w:rPr>
          <w:color w:val="000000"/>
          <w:sz w:val="24"/>
          <w:szCs w:val="24"/>
        </w:rPr>
        <w:t xml:space="preserve"> </w:t>
      </w:r>
      <w:r w:rsidRPr="00677B2A">
        <w:rPr>
          <w:rFonts w:ascii="Cambria" w:eastAsia="Calibri" w:hAnsi="Cambria"/>
          <w:sz w:val="22"/>
          <w:szCs w:val="22"/>
          <w:lang w:eastAsia="en-US"/>
        </w:rPr>
        <w:t>dopuszczenie różnych formatów karty oznacza, że logistyka i  akcja informacyjna staną się nieco bardziej skomplikowane niż w sytuacji, gdy wszędzie będzie obowiązywać „książeczka”. Nie będą to jednak komplikacje szczególnie duże, a problemy nie będą jakościowo nowe:  w wyborach występuje wiele typów kart; wyborcy do takich samych organów głosują na różnych kartach w różnych miejscach; karty do druku trzeba przygotować już w trakcie procesu wyborczego (pod tym względem  nic się nie zmienia).</w:t>
      </w:r>
    </w:p>
    <w:p w:rsidR="00677B2A" w:rsidRPr="00677B2A" w:rsidRDefault="00677B2A" w:rsidP="00033F05">
      <w:pPr>
        <w:jc w:val="both"/>
        <w:rPr>
          <w:rFonts w:ascii="Cambria" w:eastAsia="Calibri" w:hAnsi="Cambria"/>
          <w:sz w:val="22"/>
          <w:szCs w:val="22"/>
          <w:lang w:eastAsia="en-US"/>
        </w:rPr>
      </w:pPr>
    </w:p>
    <w:p w:rsidR="00677B2A" w:rsidRPr="00677B2A" w:rsidRDefault="00677B2A" w:rsidP="00033F05">
      <w:pPr>
        <w:jc w:val="both"/>
        <w:rPr>
          <w:rFonts w:ascii="Cambria" w:eastAsia="Calibri" w:hAnsi="Cambria"/>
          <w:sz w:val="22"/>
          <w:szCs w:val="22"/>
          <w:lang w:eastAsia="en-US"/>
        </w:rPr>
      </w:pPr>
      <w:r w:rsidRPr="00F82964">
        <w:rPr>
          <w:rFonts w:ascii="Cambria" w:eastAsia="Calibri" w:hAnsi="Cambria"/>
          <w:b/>
          <w:sz w:val="22"/>
          <w:szCs w:val="22"/>
          <w:lang w:eastAsia="en-US"/>
        </w:rPr>
        <w:t>Korzyści z zastąpienia broszury przez „płachtę”</w:t>
      </w:r>
      <w:r w:rsidRPr="00677B2A">
        <w:rPr>
          <w:rFonts w:ascii="Cambria" w:eastAsia="Calibri" w:hAnsi="Cambria"/>
          <w:sz w:val="22"/>
          <w:szCs w:val="22"/>
          <w:lang w:eastAsia="en-US"/>
        </w:rPr>
        <w:t xml:space="preserve"> nawet tylko w części - a tym bardziej w zdecydowanej większości - obwodów są niewątpliwe: ograniczenie liczby głosów nieważnych, umożliwienie tajnego głosowania osobom niewidomym, niższe koszty druku, łatwiejsza (i mniej narażona na błędy) praca komisji obwodowych przy zliczaniu głosów, niższe koszty magazynowania (także po wyborach), gdyż „płachty” zajmują znacznie mniej miejsca. </w:t>
      </w:r>
    </w:p>
    <w:p w:rsidR="00677B2A" w:rsidRPr="00677B2A" w:rsidRDefault="00677B2A" w:rsidP="00033F05">
      <w:pPr>
        <w:jc w:val="both"/>
        <w:rPr>
          <w:rFonts w:ascii="Cambria" w:eastAsia="Calibri" w:hAnsi="Cambria"/>
          <w:sz w:val="22"/>
          <w:szCs w:val="22"/>
          <w:lang w:eastAsia="en-US"/>
        </w:rPr>
      </w:pPr>
    </w:p>
    <w:p w:rsidR="00677B2A" w:rsidRPr="00677B2A" w:rsidRDefault="00677B2A" w:rsidP="00033F05">
      <w:pPr>
        <w:jc w:val="both"/>
        <w:rPr>
          <w:rFonts w:ascii="Cambria" w:eastAsia="Calibri" w:hAnsi="Cambria"/>
          <w:sz w:val="22"/>
          <w:szCs w:val="22"/>
          <w:lang w:eastAsia="en-US"/>
        </w:rPr>
      </w:pPr>
      <w:r w:rsidRPr="00677B2A">
        <w:rPr>
          <w:rFonts w:ascii="Cambria" w:eastAsia="Calibri" w:hAnsi="Cambria"/>
          <w:sz w:val="22"/>
          <w:szCs w:val="22"/>
          <w:lang w:eastAsia="en-US"/>
        </w:rPr>
        <w:t xml:space="preserve">Zanim nowe wzory kart zostaną wprowadzone do użytku, powinny być poddane bardziej wnikliwemu, przygotowanemu metodologicznie badaniu z udziałem różnych grup wyborców. Dopiero po przeprowadzeniu takiego badania będzie można ocenić, czy projekty są  gotowe do użytku czy też należy je skorygować.  </w:t>
      </w:r>
    </w:p>
    <w:p w:rsidR="00677B2A" w:rsidRPr="00677B2A" w:rsidRDefault="00677B2A" w:rsidP="00677B2A">
      <w:pPr>
        <w:ind w:firstLine="4678"/>
        <w:rPr>
          <w:rFonts w:ascii="Cambria" w:eastAsia="Calibri" w:hAnsi="Cambria"/>
          <w:sz w:val="22"/>
          <w:szCs w:val="22"/>
          <w:lang w:eastAsia="en-US"/>
        </w:rPr>
      </w:pPr>
    </w:p>
    <w:p w:rsidR="008330C0" w:rsidRDefault="00677B2A" w:rsidP="00722ACD">
      <w:pPr>
        <w:rPr>
          <w:rFonts w:ascii="Cambria" w:eastAsia="Calibri" w:hAnsi="Cambria"/>
          <w:sz w:val="22"/>
          <w:szCs w:val="22"/>
          <w:lang w:eastAsia="en-US"/>
        </w:rPr>
      </w:pPr>
      <w:r w:rsidRPr="00677B2A">
        <w:rPr>
          <w:rFonts w:ascii="Cambria" w:eastAsia="Calibri" w:hAnsi="Cambria"/>
          <w:sz w:val="22"/>
          <w:szCs w:val="22"/>
          <w:lang w:eastAsia="en-US"/>
        </w:rPr>
        <w:t>Członkowie zespołu:</w:t>
      </w:r>
    </w:p>
    <w:p w:rsidR="00033F05" w:rsidRPr="00033F05" w:rsidRDefault="00033F05" w:rsidP="00033F05">
      <w:pPr>
        <w:numPr>
          <w:ilvl w:val="0"/>
          <w:numId w:val="33"/>
        </w:numPr>
        <w:spacing w:before="100" w:beforeAutospacing="1" w:after="100" w:afterAutospacing="1"/>
        <w:rPr>
          <w:rFonts w:ascii="Cambria" w:eastAsia="Calibri" w:hAnsi="Cambria"/>
          <w:sz w:val="22"/>
          <w:szCs w:val="22"/>
          <w:lang w:eastAsia="en-US"/>
        </w:rPr>
      </w:pPr>
      <w:r w:rsidRPr="00033F05">
        <w:rPr>
          <w:rFonts w:ascii="Cambria" w:eastAsia="Calibri" w:hAnsi="Cambria"/>
          <w:sz w:val="22"/>
          <w:szCs w:val="22"/>
          <w:lang w:eastAsia="en-US"/>
        </w:rPr>
        <w:t xml:space="preserve">dr hab. </w:t>
      </w:r>
      <w:r w:rsidRPr="00033F05">
        <w:rPr>
          <w:rFonts w:ascii="Cambria" w:eastAsia="Calibri" w:hAnsi="Cambria"/>
          <w:b/>
          <w:sz w:val="22"/>
          <w:szCs w:val="22"/>
          <w:lang w:eastAsia="en-US"/>
        </w:rPr>
        <w:t>Mikołaj Cześnik</w:t>
      </w:r>
      <w:r w:rsidRPr="00033F05">
        <w:rPr>
          <w:rFonts w:ascii="Cambria" w:eastAsia="Calibri" w:hAnsi="Cambria"/>
          <w:sz w:val="22"/>
          <w:szCs w:val="22"/>
          <w:lang w:eastAsia="en-US"/>
        </w:rPr>
        <w:t>, Wydział Nauk Humanistycznych i Społecznych</w:t>
      </w:r>
      <w:r w:rsidRPr="00033F05">
        <w:rPr>
          <w:sz w:val="24"/>
          <w:szCs w:val="24"/>
        </w:rPr>
        <w:t xml:space="preserve"> </w:t>
      </w:r>
      <w:r w:rsidRPr="00033F05">
        <w:rPr>
          <w:rFonts w:ascii="Cambria" w:eastAsia="Calibri" w:hAnsi="Cambria"/>
          <w:sz w:val="22"/>
          <w:szCs w:val="22"/>
          <w:lang w:eastAsia="en-US"/>
        </w:rPr>
        <w:t>Uniwersytetu SWPS</w:t>
      </w:r>
    </w:p>
    <w:p w:rsidR="00033F05" w:rsidRPr="00033F05" w:rsidRDefault="00033F05" w:rsidP="00033F05">
      <w:pPr>
        <w:numPr>
          <w:ilvl w:val="0"/>
          <w:numId w:val="33"/>
        </w:numPr>
        <w:spacing w:before="100" w:beforeAutospacing="1" w:after="100" w:afterAutospacing="1"/>
        <w:rPr>
          <w:rFonts w:ascii="Cambria" w:eastAsia="Calibri" w:hAnsi="Cambria"/>
          <w:sz w:val="22"/>
          <w:szCs w:val="22"/>
          <w:lang w:eastAsia="en-US"/>
        </w:rPr>
      </w:pPr>
      <w:r w:rsidRPr="00033F05">
        <w:rPr>
          <w:rFonts w:ascii="Cambria" w:eastAsia="Calibri" w:hAnsi="Cambria"/>
          <w:sz w:val="22"/>
          <w:szCs w:val="22"/>
          <w:lang w:eastAsia="en-US"/>
        </w:rPr>
        <w:t xml:space="preserve">dr hab. </w:t>
      </w:r>
      <w:r w:rsidRPr="00033F05">
        <w:rPr>
          <w:rFonts w:ascii="Cambria" w:eastAsia="Calibri" w:hAnsi="Cambria"/>
          <w:b/>
          <w:sz w:val="22"/>
          <w:szCs w:val="22"/>
          <w:lang w:eastAsia="en-US"/>
        </w:rPr>
        <w:t>Jarosław Flis</w:t>
      </w:r>
      <w:r w:rsidRPr="00033F05">
        <w:rPr>
          <w:rFonts w:ascii="Cambria" w:eastAsia="Calibri" w:hAnsi="Cambria"/>
          <w:sz w:val="22"/>
          <w:szCs w:val="22"/>
          <w:lang w:eastAsia="en-US"/>
        </w:rPr>
        <w:t>, Wydział Zarządzania i Komunikacji Społecznej Uniwersytetu Jagiellońskiego</w:t>
      </w:r>
    </w:p>
    <w:p w:rsidR="00033F05" w:rsidRPr="00033F05" w:rsidRDefault="00033F05" w:rsidP="00033F05">
      <w:pPr>
        <w:numPr>
          <w:ilvl w:val="0"/>
          <w:numId w:val="33"/>
        </w:numPr>
        <w:spacing w:before="100" w:beforeAutospacing="1" w:after="100" w:afterAutospacing="1"/>
        <w:rPr>
          <w:rFonts w:ascii="Cambria" w:eastAsia="Calibri" w:hAnsi="Cambria"/>
          <w:sz w:val="22"/>
          <w:szCs w:val="22"/>
          <w:lang w:eastAsia="en-US"/>
        </w:rPr>
      </w:pPr>
      <w:r w:rsidRPr="00033F05">
        <w:rPr>
          <w:rFonts w:ascii="Cambria" w:eastAsia="Calibri" w:hAnsi="Cambria"/>
          <w:sz w:val="22"/>
          <w:szCs w:val="22"/>
          <w:lang w:eastAsia="en-US"/>
        </w:rPr>
        <w:t xml:space="preserve">dr </w:t>
      </w:r>
      <w:r w:rsidRPr="00033F05">
        <w:rPr>
          <w:rFonts w:ascii="Cambria" w:eastAsia="Calibri" w:hAnsi="Cambria"/>
          <w:b/>
          <w:sz w:val="22"/>
          <w:szCs w:val="22"/>
          <w:lang w:eastAsia="en-US"/>
        </w:rPr>
        <w:t xml:space="preserve">Adam </w:t>
      </w:r>
      <w:proofErr w:type="spellStart"/>
      <w:r w:rsidRPr="00033F05">
        <w:rPr>
          <w:rFonts w:ascii="Cambria" w:eastAsia="Calibri" w:hAnsi="Cambria"/>
          <w:b/>
          <w:sz w:val="22"/>
          <w:szCs w:val="22"/>
          <w:lang w:eastAsia="en-US"/>
        </w:rPr>
        <w:t>Gendźwiłł</w:t>
      </w:r>
      <w:proofErr w:type="spellEnd"/>
      <w:r w:rsidRPr="00033F05">
        <w:rPr>
          <w:rFonts w:ascii="Cambria" w:eastAsia="Calibri" w:hAnsi="Cambria"/>
          <w:sz w:val="22"/>
          <w:szCs w:val="22"/>
          <w:lang w:eastAsia="en-US"/>
        </w:rPr>
        <w:t>, Zakład Rozwoju i Polityki Lokalnej, Wydział Geografii i Studiów Regionalnych Uniwersytetu Warszawskiego</w:t>
      </w:r>
    </w:p>
    <w:p w:rsidR="00033F05" w:rsidRPr="00033F05" w:rsidRDefault="00033F05" w:rsidP="00033F05">
      <w:pPr>
        <w:numPr>
          <w:ilvl w:val="0"/>
          <w:numId w:val="33"/>
        </w:numPr>
        <w:spacing w:before="100" w:beforeAutospacing="1" w:after="100" w:afterAutospacing="1"/>
        <w:rPr>
          <w:rFonts w:ascii="Cambria" w:eastAsia="Calibri" w:hAnsi="Cambria"/>
          <w:sz w:val="22"/>
          <w:szCs w:val="22"/>
          <w:lang w:eastAsia="en-US"/>
        </w:rPr>
      </w:pPr>
      <w:r w:rsidRPr="00033F05">
        <w:rPr>
          <w:rFonts w:ascii="Cambria" w:eastAsia="Calibri" w:hAnsi="Cambria"/>
          <w:sz w:val="22"/>
          <w:szCs w:val="22"/>
          <w:lang w:eastAsia="en-US"/>
        </w:rPr>
        <w:t xml:space="preserve">dr hab. </w:t>
      </w:r>
      <w:r w:rsidRPr="00033F05">
        <w:rPr>
          <w:rFonts w:ascii="Cambria" w:eastAsia="Calibri" w:hAnsi="Cambria"/>
          <w:b/>
          <w:sz w:val="22"/>
          <w:szCs w:val="22"/>
          <w:lang w:eastAsia="en-US"/>
        </w:rPr>
        <w:t>Jacek Haman</w:t>
      </w:r>
      <w:r w:rsidRPr="00033F05">
        <w:rPr>
          <w:rFonts w:ascii="Cambria" w:eastAsia="Calibri" w:hAnsi="Cambria"/>
          <w:sz w:val="22"/>
          <w:szCs w:val="22"/>
          <w:lang w:eastAsia="en-US"/>
        </w:rPr>
        <w:t>, Zakład Statystyki, Demografii i Socjologii Matematycznej, Instytut Socjologii Uniwersytetu Warszawskiego</w:t>
      </w:r>
    </w:p>
    <w:p w:rsidR="00033F05" w:rsidRPr="00033F05" w:rsidRDefault="00033F05" w:rsidP="00033F05">
      <w:pPr>
        <w:numPr>
          <w:ilvl w:val="0"/>
          <w:numId w:val="33"/>
        </w:numPr>
        <w:spacing w:before="100" w:beforeAutospacing="1" w:after="100" w:afterAutospacing="1"/>
        <w:rPr>
          <w:rFonts w:ascii="Cambria" w:eastAsia="Calibri" w:hAnsi="Cambria"/>
          <w:sz w:val="22"/>
          <w:szCs w:val="22"/>
          <w:lang w:eastAsia="en-US"/>
        </w:rPr>
      </w:pPr>
      <w:r w:rsidRPr="00033F05">
        <w:rPr>
          <w:rFonts w:ascii="Cambria" w:eastAsia="Calibri" w:hAnsi="Cambria"/>
          <w:sz w:val="22"/>
          <w:szCs w:val="22"/>
          <w:lang w:eastAsia="en-US"/>
        </w:rPr>
        <w:t xml:space="preserve">dr </w:t>
      </w:r>
      <w:r w:rsidRPr="00033F05">
        <w:rPr>
          <w:rFonts w:ascii="Cambria" w:eastAsia="Calibri" w:hAnsi="Cambria"/>
          <w:b/>
          <w:sz w:val="22"/>
          <w:szCs w:val="22"/>
          <w:lang w:eastAsia="en-US"/>
        </w:rPr>
        <w:t xml:space="preserve">Anna </w:t>
      </w:r>
      <w:proofErr w:type="spellStart"/>
      <w:r w:rsidRPr="00033F05">
        <w:rPr>
          <w:rFonts w:ascii="Cambria" w:eastAsia="Calibri" w:hAnsi="Cambria"/>
          <w:b/>
          <w:sz w:val="22"/>
          <w:szCs w:val="22"/>
          <w:lang w:eastAsia="en-US"/>
        </w:rPr>
        <w:t>Materska-Sosnowska</w:t>
      </w:r>
      <w:proofErr w:type="spellEnd"/>
      <w:r w:rsidRPr="00033F05">
        <w:rPr>
          <w:rFonts w:ascii="Cambria" w:eastAsia="Calibri" w:hAnsi="Cambria"/>
          <w:sz w:val="22"/>
          <w:szCs w:val="22"/>
          <w:lang w:eastAsia="en-US"/>
        </w:rPr>
        <w:t>, Instytut Nauk Politycznych, Wydział Dziennikarstwa i Nauk Politycznych Uniwersytetu Warszawskiego</w:t>
      </w:r>
    </w:p>
    <w:p w:rsidR="00033F05" w:rsidRPr="00033F05" w:rsidRDefault="00033F05" w:rsidP="00033F05">
      <w:pPr>
        <w:numPr>
          <w:ilvl w:val="0"/>
          <w:numId w:val="33"/>
        </w:numPr>
        <w:spacing w:before="100" w:beforeAutospacing="1" w:after="100" w:afterAutospacing="1"/>
        <w:rPr>
          <w:rFonts w:ascii="Cambria" w:eastAsia="Calibri" w:hAnsi="Cambria"/>
          <w:sz w:val="22"/>
          <w:szCs w:val="22"/>
          <w:lang w:eastAsia="en-US"/>
        </w:rPr>
      </w:pPr>
      <w:r w:rsidRPr="00033F05">
        <w:rPr>
          <w:rFonts w:ascii="Cambria" w:eastAsia="Calibri" w:hAnsi="Cambria"/>
          <w:sz w:val="22"/>
          <w:szCs w:val="22"/>
          <w:lang w:eastAsia="en-US"/>
        </w:rPr>
        <w:t xml:space="preserve">dr hab. </w:t>
      </w:r>
      <w:r w:rsidRPr="00033F05">
        <w:rPr>
          <w:rFonts w:ascii="Cambria" w:eastAsia="Calibri" w:hAnsi="Cambria"/>
          <w:b/>
          <w:sz w:val="22"/>
          <w:szCs w:val="22"/>
          <w:lang w:eastAsia="en-US"/>
        </w:rPr>
        <w:t>Bartłomiej Michalak</w:t>
      </w:r>
      <w:r w:rsidRPr="00033F05">
        <w:rPr>
          <w:rFonts w:ascii="Cambria" w:eastAsia="Calibri" w:hAnsi="Cambria"/>
          <w:sz w:val="22"/>
          <w:szCs w:val="22"/>
          <w:lang w:eastAsia="en-US"/>
        </w:rPr>
        <w:t>, Wydział Politologii i Studiów Międzynarodowych Uniwersytetu Mikołaja Kopernika w Toruniu</w:t>
      </w:r>
    </w:p>
    <w:p w:rsidR="00033F05" w:rsidRPr="00033F05" w:rsidRDefault="00033F05" w:rsidP="00033F05">
      <w:pPr>
        <w:numPr>
          <w:ilvl w:val="0"/>
          <w:numId w:val="33"/>
        </w:numPr>
        <w:spacing w:before="100" w:beforeAutospacing="1" w:after="100" w:afterAutospacing="1"/>
        <w:rPr>
          <w:rFonts w:ascii="Cambria" w:eastAsia="Calibri" w:hAnsi="Cambria"/>
          <w:sz w:val="22"/>
          <w:szCs w:val="22"/>
          <w:lang w:eastAsia="en-US"/>
        </w:rPr>
      </w:pPr>
      <w:r w:rsidRPr="00033F05">
        <w:rPr>
          <w:rFonts w:ascii="Cambria" w:eastAsia="Calibri" w:hAnsi="Cambria"/>
          <w:sz w:val="22"/>
          <w:szCs w:val="22"/>
          <w:lang w:eastAsia="en-US"/>
        </w:rPr>
        <w:t xml:space="preserve">prof. </w:t>
      </w:r>
      <w:r w:rsidRPr="00033F05">
        <w:rPr>
          <w:rFonts w:ascii="Cambria" w:eastAsia="Calibri" w:hAnsi="Cambria"/>
          <w:b/>
          <w:sz w:val="22"/>
          <w:szCs w:val="22"/>
          <w:lang w:eastAsia="en-US"/>
        </w:rPr>
        <w:t>Jacek Raciborski</w:t>
      </w:r>
      <w:r w:rsidRPr="00033F05">
        <w:rPr>
          <w:rFonts w:ascii="Cambria" w:eastAsia="Calibri" w:hAnsi="Cambria"/>
          <w:sz w:val="22"/>
          <w:szCs w:val="22"/>
          <w:lang w:eastAsia="en-US"/>
        </w:rPr>
        <w:t>, Zakład Socjologii Polityki Instytutu Socjologii Uniwersytetu Warszawskiego</w:t>
      </w:r>
    </w:p>
    <w:p w:rsidR="00033F05" w:rsidRPr="00033F05" w:rsidRDefault="00033F05" w:rsidP="00033F05">
      <w:pPr>
        <w:numPr>
          <w:ilvl w:val="0"/>
          <w:numId w:val="33"/>
        </w:numPr>
        <w:spacing w:before="100" w:beforeAutospacing="1" w:after="100" w:afterAutospacing="1"/>
        <w:rPr>
          <w:rFonts w:ascii="Cambria" w:eastAsia="Calibri" w:hAnsi="Cambria"/>
          <w:sz w:val="22"/>
          <w:szCs w:val="22"/>
          <w:lang w:eastAsia="en-US"/>
        </w:rPr>
      </w:pPr>
      <w:r w:rsidRPr="00033F05">
        <w:rPr>
          <w:rFonts w:ascii="Cambria" w:eastAsia="Calibri" w:hAnsi="Cambria"/>
          <w:sz w:val="22"/>
          <w:szCs w:val="22"/>
          <w:lang w:eastAsia="en-US"/>
        </w:rPr>
        <w:t xml:space="preserve">prof. </w:t>
      </w:r>
      <w:r w:rsidRPr="00033F05">
        <w:rPr>
          <w:rFonts w:ascii="Cambria" w:eastAsia="Calibri" w:hAnsi="Cambria"/>
          <w:b/>
          <w:sz w:val="22"/>
          <w:szCs w:val="22"/>
          <w:lang w:eastAsia="en-US"/>
        </w:rPr>
        <w:t>Andrzej Rychard</w:t>
      </w:r>
      <w:r w:rsidRPr="00033F05">
        <w:rPr>
          <w:rFonts w:ascii="Cambria" w:eastAsia="Calibri" w:hAnsi="Cambria"/>
          <w:sz w:val="22"/>
          <w:szCs w:val="22"/>
          <w:lang w:eastAsia="en-US"/>
        </w:rPr>
        <w:t>, Instytut Filozofii i Socjologii Polskiej Akademii Nauk</w:t>
      </w:r>
    </w:p>
    <w:p w:rsidR="00033F05" w:rsidRPr="00033F05" w:rsidRDefault="00033F05" w:rsidP="00033F05">
      <w:pPr>
        <w:numPr>
          <w:ilvl w:val="0"/>
          <w:numId w:val="33"/>
        </w:numPr>
        <w:spacing w:before="100" w:beforeAutospacing="1" w:after="100" w:afterAutospacing="1"/>
        <w:rPr>
          <w:rFonts w:ascii="Cambria" w:eastAsia="Calibri" w:hAnsi="Cambria"/>
          <w:sz w:val="22"/>
          <w:szCs w:val="22"/>
          <w:lang w:eastAsia="en-US"/>
        </w:rPr>
      </w:pPr>
      <w:r w:rsidRPr="00033F05">
        <w:rPr>
          <w:rFonts w:ascii="Cambria" w:eastAsia="Calibri" w:hAnsi="Cambria"/>
          <w:sz w:val="22"/>
          <w:szCs w:val="22"/>
          <w:lang w:eastAsia="en-US"/>
        </w:rPr>
        <w:t xml:space="preserve">dr hab. </w:t>
      </w:r>
      <w:r w:rsidRPr="00033F05">
        <w:rPr>
          <w:rFonts w:ascii="Cambria" w:eastAsia="Calibri" w:hAnsi="Cambria"/>
          <w:b/>
          <w:sz w:val="22"/>
          <w:szCs w:val="22"/>
          <w:lang w:eastAsia="en-US"/>
        </w:rPr>
        <w:t xml:space="preserve">Dawid </w:t>
      </w:r>
      <w:proofErr w:type="spellStart"/>
      <w:r w:rsidRPr="00033F05">
        <w:rPr>
          <w:rFonts w:ascii="Cambria" w:eastAsia="Calibri" w:hAnsi="Cambria"/>
          <w:b/>
          <w:sz w:val="22"/>
          <w:szCs w:val="22"/>
          <w:lang w:eastAsia="en-US"/>
        </w:rPr>
        <w:t>Sześciło</w:t>
      </w:r>
      <w:proofErr w:type="spellEnd"/>
      <w:r w:rsidRPr="00033F05">
        <w:rPr>
          <w:rFonts w:ascii="Cambria" w:eastAsia="Calibri" w:hAnsi="Cambria"/>
          <w:sz w:val="22"/>
          <w:szCs w:val="22"/>
          <w:lang w:eastAsia="en-US"/>
        </w:rPr>
        <w:t>, Zakład Nauki Administracji Wydziału Prawa i Administracji Uniwersytetu Warszawskiego</w:t>
      </w:r>
    </w:p>
    <w:p w:rsidR="00E12BC1" w:rsidRDefault="00E12BC1" w:rsidP="00E12BC1">
      <w:pPr>
        <w:spacing w:before="100" w:beforeAutospacing="1" w:after="100" w:afterAutospacing="1"/>
        <w:rPr>
          <w:rFonts w:ascii="Cambria" w:eastAsia="Calibri" w:hAnsi="Cambria"/>
          <w:color w:val="FF0000"/>
          <w:sz w:val="22"/>
          <w:szCs w:val="22"/>
          <w:lang w:eastAsia="en-US"/>
        </w:rPr>
      </w:pPr>
    </w:p>
    <w:p w:rsidR="00E12BC1" w:rsidRPr="00E12BC1" w:rsidRDefault="00E12BC1" w:rsidP="00E12BC1">
      <w:pPr>
        <w:rPr>
          <w:rFonts w:ascii="Cambria" w:eastAsia="Calibri" w:hAnsi="Cambria"/>
          <w:sz w:val="22"/>
          <w:szCs w:val="22"/>
          <w:lang w:eastAsia="en-US"/>
        </w:rPr>
      </w:pPr>
      <w:r w:rsidRPr="00E12BC1">
        <w:rPr>
          <w:rFonts w:ascii="Cambria" w:eastAsia="Calibri" w:hAnsi="Cambria"/>
          <w:sz w:val="22"/>
          <w:szCs w:val="22"/>
          <w:lang w:eastAsia="en-US"/>
        </w:rPr>
        <w:t>Wzory karty wyborczych przygotowanej przez ekspertów Fundacji Batorego:</w:t>
      </w:r>
    </w:p>
    <w:p w:rsidR="00E12BC1" w:rsidRPr="00E12BC1" w:rsidRDefault="00E12BC1" w:rsidP="00E12BC1">
      <w:pPr>
        <w:rPr>
          <w:rFonts w:ascii="Cambria" w:eastAsia="Calibri" w:hAnsi="Cambria"/>
          <w:sz w:val="22"/>
          <w:szCs w:val="22"/>
          <w:lang w:eastAsia="en-US"/>
        </w:rPr>
      </w:pPr>
      <w:r w:rsidRPr="00E12BC1">
        <w:rPr>
          <w:rFonts w:ascii="Cambria" w:eastAsia="Calibri" w:hAnsi="Cambria"/>
          <w:sz w:val="22"/>
          <w:szCs w:val="22"/>
          <w:lang w:eastAsia="en-US"/>
        </w:rPr>
        <w:t>Karta-płachta</w:t>
      </w:r>
    </w:p>
    <w:p w:rsidR="00BD60DA" w:rsidRPr="00E12BC1" w:rsidRDefault="00E12BC1" w:rsidP="00E12BC1">
      <w:pPr>
        <w:rPr>
          <w:rFonts w:ascii="Cambria" w:eastAsia="Calibri" w:hAnsi="Cambria"/>
          <w:sz w:val="22"/>
          <w:szCs w:val="22"/>
          <w:lang w:eastAsia="en-US"/>
        </w:rPr>
      </w:pPr>
      <w:r w:rsidRPr="00E12BC1">
        <w:rPr>
          <w:rFonts w:ascii="Cambria" w:eastAsia="Calibri" w:hAnsi="Cambria"/>
          <w:sz w:val="22"/>
          <w:szCs w:val="22"/>
          <w:lang w:eastAsia="en-US"/>
        </w:rPr>
        <w:t>http://bit.ly/Batory_PlachtaWyborczaUkladPionowy</w:t>
      </w:r>
    </w:p>
    <w:p w:rsidR="00727F0C" w:rsidRPr="00727F0C" w:rsidRDefault="007F3EB0" w:rsidP="00E12BC1">
      <w:pPr>
        <w:rPr>
          <w:rFonts w:ascii="Cambria" w:eastAsia="Calibri" w:hAnsi="Cambria"/>
          <w:sz w:val="22"/>
          <w:szCs w:val="22"/>
          <w:lang w:eastAsia="en-US"/>
        </w:rPr>
      </w:pPr>
      <w:hyperlink r:id="rId8" w:history="1">
        <w:r w:rsidR="00727F0C" w:rsidRPr="00727F0C">
          <w:rPr>
            <w:rFonts w:ascii="Cambria" w:eastAsia="Calibri" w:hAnsi="Cambria"/>
            <w:sz w:val="22"/>
            <w:szCs w:val="22"/>
            <w:lang w:eastAsia="en-US"/>
          </w:rPr>
          <w:t>http://bit.ly/2fCVBBg</w:t>
        </w:r>
      </w:hyperlink>
    </w:p>
    <w:p w:rsidR="00E12BC1" w:rsidRPr="00E12BC1" w:rsidRDefault="00E12BC1" w:rsidP="00E12BC1">
      <w:pPr>
        <w:rPr>
          <w:rFonts w:ascii="Cambria" w:eastAsia="Calibri" w:hAnsi="Cambria"/>
          <w:sz w:val="22"/>
          <w:szCs w:val="22"/>
          <w:lang w:eastAsia="en-US"/>
        </w:rPr>
      </w:pPr>
      <w:r w:rsidRPr="00E12BC1">
        <w:rPr>
          <w:rFonts w:ascii="Cambria" w:eastAsia="Calibri" w:hAnsi="Cambria"/>
          <w:sz w:val="22"/>
          <w:szCs w:val="22"/>
          <w:lang w:eastAsia="en-US"/>
        </w:rPr>
        <w:t>Karta-broszura</w:t>
      </w:r>
    </w:p>
    <w:p w:rsidR="00E12BC1" w:rsidRDefault="007F3EB0" w:rsidP="00E12BC1">
      <w:pPr>
        <w:rPr>
          <w:rFonts w:ascii="Cambria" w:eastAsia="Calibri" w:hAnsi="Cambria"/>
          <w:sz w:val="22"/>
          <w:szCs w:val="22"/>
          <w:lang w:eastAsia="en-US"/>
        </w:rPr>
      </w:pPr>
      <w:hyperlink r:id="rId9" w:history="1">
        <w:r w:rsidR="00BD60DA" w:rsidRPr="00727F0C">
          <w:rPr>
            <w:rFonts w:ascii="Cambria" w:eastAsia="Calibri" w:hAnsi="Cambria"/>
            <w:sz w:val="22"/>
            <w:szCs w:val="22"/>
            <w:lang w:eastAsia="en-US"/>
          </w:rPr>
          <w:t>http://bit.ly/Batory_KartaWyborczaBroszura</w:t>
        </w:r>
      </w:hyperlink>
    </w:p>
    <w:p w:rsidR="00BD60DA" w:rsidRPr="00E12BC1" w:rsidRDefault="00BD60DA" w:rsidP="00E12BC1">
      <w:pPr>
        <w:rPr>
          <w:rFonts w:ascii="Cambria" w:eastAsia="Calibri" w:hAnsi="Cambria"/>
          <w:sz w:val="22"/>
          <w:szCs w:val="22"/>
          <w:lang w:eastAsia="en-US"/>
        </w:rPr>
      </w:pPr>
    </w:p>
    <w:p w:rsidR="00E12BC1" w:rsidRPr="00E12BC1" w:rsidRDefault="00E12BC1" w:rsidP="00E12BC1">
      <w:pPr>
        <w:spacing w:before="100" w:beforeAutospacing="1" w:after="100" w:afterAutospacing="1"/>
        <w:rPr>
          <w:rFonts w:ascii="Cambria" w:eastAsia="Calibri" w:hAnsi="Cambria"/>
          <w:sz w:val="22"/>
          <w:szCs w:val="22"/>
          <w:lang w:eastAsia="en-US"/>
        </w:rPr>
      </w:pPr>
    </w:p>
    <w:p w:rsidR="00033F05" w:rsidRPr="00722ACD" w:rsidRDefault="00033F05" w:rsidP="00722ACD">
      <w:pPr>
        <w:rPr>
          <w:rFonts w:ascii="Cambria" w:eastAsia="Calibri" w:hAnsi="Cambria"/>
          <w:sz w:val="22"/>
          <w:szCs w:val="22"/>
          <w:lang w:eastAsia="en-US"/>
        </w:rPr>
      </w:pPr>
    </w:p>
    <w:sectPr w:rsidR="00033F05" w:rsidRPr="00722ACD" w:rsidSect="00586768">
      <w:footerReference w:type="default" r:id="rId10"/>
      <w:headerReference w:type="first" r:id="rId11"/>
      <w:footerReference w:type="first" r:id="rId12"/>
      <w:pgSz w:w="11906" w:h="16838" w:code="9"/>
      <w:pgMar w:top="1418" w:right="1418" w:bottom="1021" w:left="1418"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C1" w:rsidRDefault="00E12BC1" w:rsidP="00812E36">
      <w:r>
        <w:separator/>
      </w:r>
    </w:p>
  </w:endnote>
  <w:endnote w:type="continuationSeparator" w:id="0">
    <w:p w:rsidR="00E12BC1" w:rsidRDefault="00E12BC1" w:rsidP="00812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altName w:val="Times New Roman"/>
    <w:charset w:val="EE"/>
    <w:family w:val="auto"/>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C1" w:rsidRPr="00B91801" w:rsidRDefault="00E12BC1" w:rsidP="004F3893">
    <w:pPr>
      <w:pStyle w:val="Stopka"/>
      <w:rPr>
        <w:sz w:val="20"/>
      </w:rPr>
    </w:pPr>
    <w:r w:rsidRPr="00B91801">
      <w:rPr>
        <w:sz w:val="20"/>
      </w:rPr>
      <w:t xml:space="preserve">Więcej informacji: </w:t>
    </w:r>
  </w:p>
  <w:p w:rsidR="00E12BC1" w:rsidRPr="00B91801" w:rsidRDefault="00E12BC1" w:rsidP="004F3893">
    <w:pPr>
      <w:pStyle w:val="Stopka"/>
      <w:rPr>
        <w:sz w:val="20"/>
      </w:rPr>
    </w:pPr>
  </w:p>
  <w:p w:rsidR="00E12BC1" w:rsidRPr="00B91801" w:rsidRDefault="00E12BC1" w:rsidP="004F3893">
    <w:pPr>
      <w:pStyle w:val="Stopka"/>
      <w:rPr>
        <w:sz w:val="20"/>
      </w:rPr>
    </w:pPr>
    <w:r w:rsidRPr="00B91801">
      <w:rPr>
        <w:sz w:val="20"/>
      </w:rPr>
      <w:t xml:space="preserve">Marzena Płudowska </w:t>
    </w:r>
  </w:p>
  <w:p w:rsidR="00E12BC1" w:rsidRPr="00B91801" w:rsidRDefault="00E12BC1" w:rsidP="004F3893">
    <w:pPr>
      <w:pStyle w:val="Stopka"/>
      <w:rPr>
        <w:sz w:val="20"/>
      </w:rPr>
    </w:pPr>
    <w:r w:rsidRPr="00B91801">
      <w:rPr>
        <w:sz w:val="20"/>
      </w:rPr>
      <w:t>Fundacja im. Stefana Batorego</w:t>
    </w:r>
  </w:p>
  <w:p w:rsidR="00E12BC1" w:rsidRPr="00503803" w:rsidRDefault="00E12BC1" w:rsidP="004F3893">
    <w:pPr>
      <w:pStyle w:val="Stopka"/>
      <w:rPr>
        <w:sz w:val="20"/>
      </w:rPr>
    </w:pPr>
    <w:r w:rsidRPr="00B91801">
      <w:rPr>
        <w:sz w:val="20"/>
      </w:rPr>
      <w:t>+48 508-850-464, mpludowska@batory.org.pl</w:t>
    </w:r>
  </w:p>
  <w:p w:rsidR="00E12BC1" w:rsidRDefault="00E12BC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C1" w:rsidRDefault="00E12BC1" w:rsidP="00815B4F">
    <w:pPr>
      <w:pStyle w:val="Stopka"/>
      <w:ind w:left="-1474"/>
    </w:pPr>
    <w:r>
      <w:rPr>
        <w:noProof/>
      </w:rPr>
      <w:drawing>
        <wp:inline distT="0" distB="0" distL="0" distR="0">
          <wp:extent cx="800100" cy="6667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0100" cy="66675"/>
                  </a:xfrm>
                  <a:prstGeom prst="rect">
                    <a:avLst/>
                  </a:prstGeom>
                  <a:noFill/>
                  <a:ln w="9525">
                    <a:noFill/>
                    <a:miter lim="800000"/>
                    <a:headEnd/>
                    <a:tailEnd/>
                  </a:ln>
                </pic:spPr>
              </pic:pic>
            </a:graphicData>
          </a:graphic>
        </wp:inline>
      </w:drawing>
    </w:r>
    <w:r>
      <w:tab/>
      <w:t>Fundacja im. Stefana Batorego jest organizacją pożytku publicznego</w:t>
    </w:r>
    <w:r>
      <w:br/>
    </w:r>
    <w:r>
      <w:tab/>
      <w:t xml:space="preserve">Nr konta: 81 1030 1016 0000 </w:t>
    </w:r>
    <w:proofErr w:type="spellStart"/>
    <w:r>
      <w:t>0000</w:t>
    </w:r>
    <w:proofErr w:type="spellEnd"/>
    <w:r>
      <w:t xml:space="preserve"> 6145 0000 | Nr KRS: 0000 101194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C1" w:rsidRDefault="00E12BC1" w:rsidP="00812E36">
      <w:r>
        <w:separator/>
      </w:r>
    </w:p>
  </w:footnote>
  <w:footnote w:type="continuationSeparator" w:id="0">
    <w:p w:rsidR="00E12BC1" w:rsidRDefault="00E12BC1" w:rsidP="00812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C1" w:rsidRDefault="00E12BC1" w:rsidP="00727C4A">
    <w:pPr>
      <w:pStyle w:val="Nagwek"/>
      <w:spacing w:before="60" w:after="100"/>
      <w:ind w:left="-652"/>
    </w:pPr>
    <w:r>
      <w:rPr>
        <w:noProof/>
      </w:rPr>
      <w:drawing>
        <wp:inline distT="0" distB="0" distL="0" distR="0">
          <wp:extent cx="12192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E12BC1" w:rsidRDefault="00E12BC1" w:rsidP="00E769F8">
    <w:pPr>
      <w:pStyle w:val="Nagwek"/>
    </w:pPr>
    <w:r>
      <w:t>ul. Sapieżyńska 10a</w:t>
    </w:r>
    <w:r>
      <w:br/>
      <w:t>00-215 Warszawa</w:t>
    </w:r>
    <w:r>
      <w:br/>
      <w:t>tel. 22 536 02 00</w:t>
    </w:r>
    <w:r>
      <w:br/>
    </w:r>
    <w:proofErr w:type="spellStart"/>
    <w:r>
      <w:t>fax</w:t>
    </w:r>
    <w:proofErr w:type="spellEnd"/>
    <w:r>
      <w:t xml:space="preserve"> 22 536 02 20</w:t>
    </w:r>
    <w:r>
      <w:br/>
    </w:r>
    <w:hyperlink r:id="rId2" w:history="1">
      <w:r w:rsidRPr="003A6BA6">
        <w:rPr>
          <w:rStyle w:val="Hipercze"/>
          <w:u w:val="none"/>
        </w:rPr>
        <w:t>batory@batory.org.pl</w:t>
      </w:r>
    </w:hyperlink>
    <w:r>
      <w:br/>
    </w:r>
    <w:hyperlink r:id="rId3" w:history="1">
      <w:r w:rsidRPr="003A6BA6">
        <w:rPr>
          <w:rStyle w:val="Hipercze"/>
          <w:u w:val="none"/>
        </w:rPr>
        <w:t>www.batory.org.pl</w:t>
      </w:r>
    </w:hyperlink>
  </w:p>
  <w:p w:rsidR="00E12BC1" w:rsidRDefault="00E12BC1" w:rsidP="00E769F8">
    <w:pPr>
      <w:pStyle w:val="Nagwek"/>
    </w:pPr>
  </w:p>
  <w:p w:rsidR="00E12BC1" w:rsidRDefault="00E12BC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E8C032"/>
    <w:lvl w:ilvl="0">
      <w:start w:val="1"/>
      <w:numFmt w:val="decimal"/>
      <w:lvlText w:val="%1."/>
      <w:lvlJc w:val="left"/>
      <w:pPr>
        <w:tabs>
          <w:tab w:val="num" w:pos="1492"/>
        </w:tabs>
        <w:ind w:left="1492" w:hanging="360"/>
      </w:pPr>
    </w:lvl>
  </w:abstractNum>
  <w:abstractNum w:abstractNumId="1">
    <w:nsid w:val="FFFFFF7D"/>
    <w:multiLevelType w:val="singleLevel"/>
    <w:tmpl w:val="20D2775C"/>
    <w:lvl w:ilvl="0">
      <w:start w:val="1"/>
      <w:numFmt w:val="decimal"/>
      <w:lvlText w:val="%1."/>
      <w:lvlJc w:val="left"/>
      <w:pPr>
        <w:tabs>
          <w:tab w:val="num" w:pos="1209"/>
        </w:tabs>
        <w:ind w:left="1209" w:hanging="360"/>
      </w:pPr>
    </w:lvl>
  </w:abstractNum>
  <w:abstractNum w:abstractNumId="2">
    <w:nsid w:val="FFFFFF7E"/>
    <w:multiLevelType w:val="singleLevel"/>
    <w:tmpl w:val="C708F336"/>
    <w:lvl w:ilvl="0">
      <w:start w:val="1"/>
      <w:numFmt w:val="decimal"/>
      <w:lvlText w:val="%1."/>
      <w:lvlJc w:val="left"/>
      <w:pPr>
        <w:tabs>
          <w:tab w:val="num" w:pos="926"/>
        </w:tabs>
        <w:ind w:left="926" w:hanging="360"/>
      </w:pPr>
    </w:lvl>
  </w:abstractNum>
  <w:abstractNum w:abstractNumId="3">
    <w:nsid w:val="FFFFFF7F"/>
    <w:multiLevelType w:val="singleLevel"/>
    <w:tmpl w:val="9EDA8474"/>
    <w:lvl w:ilvl="0">
      <w:start w:val="1"/>
      <w:numFmt w:val="decimal"/>
      <w:lvlText w:val="%1."/>
      <w:lvlJc w:val="left"/>
      <w:pPr>
        <w:tabs>
          <w:tab w:val="num" w:pos="643"/>
        </w:tabs>
        <w:ind w:left="643" w:hanging="360"/>
      </w:pPr>
    </w:lvl>
  </w:abstractNum>
  <w:abstractNum w:abstractNumId="4">
    <w:nsid w:val="FFFFFF80"/>
    <w:multiLevelType w:val="singleLevel"/>
    <w:tmpl w:val="5E38F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8005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108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2C9F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A28EC4"/>
    <w:lvl w:ilvl="0">
      <w:start w:val="1"/>
      <w:numFmt w:val="decimal"/>
      <w:lvlText w:val="%1."/>
      <w:lvlJc w:val="left"/>
      <w:pPr>
        <w:tabs>
          <w:tab w:val="num" w:pos="360"/>
        </w:tabs>
        <w:ind w:left="360" w:hanging="360"/>
      </w:pPr>
    </w:lvl>
  </w:abstractNum>
  <w:abstractNum w:abstractNumId="9">
    <w:nsid w:val="FFFFFF89"/>
    <w:multiLevelType w:val="singleLevel"/>
    <w:tmpl w:val="CE7261F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60F209C"/>
    <w:multiLevelType w:val="hybridMultilevel"/>
    <w:tmpl w:val="88B865FC"/>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2">
    <w:nsid w:val="09F53CB6"/>
    <w:multiLevelType w:val="hybridMultilevel"/>
    <w:tmpl w:val="AD0A0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A905919"/>
    <w:multiLevelType w:val="hybridMultilevel"/>
    <w:tmpl w:val="B974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842C36"/>
    <w:multiLevelType w:val="hybridMultilevel"/>
    <w:tmpl w:val="5E344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2B26681"/>
    <w:multiLevelType w:val="hybridMultilevel"/>
    <w:tmpl w:val="416E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401C9B"/>
    <w:multiLevelType w:val="hybridMultilevel"/>
    <w:tmpl w:val="50CABB28"/>
    <w:lvl w:ilvl="0" w:tplc="C978B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950357A"/>
    <w:multiLevelType w:val="hybridMultilevel"/>
    <w:tmpl w:val="36FA5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A3105F2"/>
    <w:multiLevelType w:val="hybridMultilevel"/>
    <w:tmpl w:val="E800CB80"/>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19">
    <w:nsid w:val="20C67470"/>
    <w:multiLevelType w:val="hybridMultilevel"/>
    <w:tmpl w:val="565A4DF8"/>
    <w:lvl w:ilvl="0" w:tplc="A9A0F0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3113EC2"/>
    <w:multiLevelType w:val="hybridMultilevel"/>
    <w:tmpl w:val="ECA625C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2160376"/>
    <w:multiLevelType w:val="hybridMultilevel"/>
    <w:tmpl w:val="F8D4A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213A4B"/>
    <w:multiLevelType w:val="hybridMultilevel"/>
    <w:tmpl w:val="78EEC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AEA423A"/>
    <w:multiLevelType w:val="hybridMultilevel"/>
    <w:tmpl w:val="D3BC7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C3540F7"/>
    <w:multiLevelType w:val="multilevel"/>
    <w:tmpl w:val="28D4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50425D1"/>
    <w:multiLevelType w:val="hybridMultilevel"/>
    <w:tmpl w:val="EB5CDBE8"/>
    <w:lvl w:ilvl="0" w:tplc="C978BEF2">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6">
    <w:nsid w:val="6E8002F0"/>
    <w:multiLevelType w:val="hybridMultilevel"/>
    <w:tmpl w:val="6A942D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6F402CCE"/>
    <w:multiLevelType w:val="hybridMultilevel"/>
    <w:tmpl w:val="10DAEDC6"/>
    <w:lvl w:ilvl="0" w:tplc="C978B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047DC"/>
    <w:multiLevelType w:val="hybridMultilevel"/>
    <w:tmpl w:val="B6383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47C0060"/>
    <w:multiLevelType w:val="hybridMultilevel"/>
    <w:tmpl w:val="46D27430"/>
    <w:lvl w:ilvl="0" w:tplc="C978BEF2">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30">
    <w:nsid w:val="7864750B"/>
    <w:multiLevelType w:val="hybridMultilevel"/>
    <w:tmpl w:val="F2D2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19"/>
  </w:num>
  <w:num w:numId="13">
    <w:abstractNumId w:val="21"/>
  </w:num>
  <w:num w:numId="14">
    <w:abstractNumId w:val="20"/>
  </w:num>
  <w:num w:numId="15">
    <w:abstractNumId w:val="17"/>
  </w:num>
  <w:num w:numId="16">
    <w:abstractNumId w:val="23"/>
  </w:num>
  <w:num w:numId="17">
    <w:abstractNumId w:val="28"/>
  </w:num>
  <w:num w:numId="18">
    <w:abstractNumId w:val="18"/>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11"/>
  </w:num>
  <w:num w:numId="24">
    <w:abstractNumId w:val="29"/>
  </w:num>
  <w:num w:numId="25">
    <w:abstractNumId w:val="30"/>
  </w:num>
  <w:num w:numId="26">
    <w:abstractNumId w:val="13"/>
  </w:num>
  <w:num w:numId="27">
    <w:abstractNumId w:val="15"/>
  </w:num>
  <w:num w:numId="28">
    <w:abstractNumId w:val="12"/>
  </w:num>
  <w:num w:numId="29">
    <w:abstractNumId w:val="22"/>
  </w:num>
  <w:num w:numId="30">
    <w:abstractNumId w:val="16"/>
  </w:num>
  <w:num w:numId="31">
    <w:abstractNumId w:val="25"/>
  </w:num>
  <w:num w:numId="32">
    <w:abstractNumId w:val="27"/>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24"/>
  <w:defaultTabStop w:val="708"/>
  <w:hyphenationZone w:val="425"/>
  <w:characterSpacingControl w:val="doNotCompress"/>
  <w:hdrShapeDefaults>
    <o:shapedefaults v:ext="edit" spidmax="175105"/>
  </w:hdrShapeDefaults>
  <w:footnotePr>
    <w:footnote w:id="-1"/>
    <w:footnote w:id="0"/>
  </w:footnotePr>
  <w:endnotePr>
    <w:endnote w:id="-1"/>
    <w:endnote w:id="0"/>
  </w:endnotePr>
  <w:compat/>
  <w:rsids>
    <w:rsidRoot w:val="00E01E54"/>
    <w:rsid w:val="0000439A"/>
    <w:rsid w:val="000100EF"/>
    <w:rsid w:val="00020F0B"/>
    <w:rsid w:val="00030442"/>
    <w:rsid w:val="00031BDE"/>
    <w:rsid w:val="00033F05"/>
    <w:rsid w:val="00034B3A"/>
    <w:rsid w:val="00035520"/>
    <w:rsid w:val="00035D2D"/>
    <w:rsid w:val="00037A26"/>
    <w:rsid w:val="000412E7"/>
    <w:rsid w:val="0004573B"/>
    <w:rsid w:val="000459A2"/>
    <w:rsid w:val="00051AA2"/>
    <w:rsid w:val="000664E7"/>
    <w:rsid w:val="000722B4"/>
    <w:rsid w:val="00084BC1"/>
    <w:rsid w:val="00091FD7"/>
    <w:rsid w:val="000928B3"/>
    <w:rsid w:val="00097409"/>
    <w:rsid w:val="000A29D6"/>
    <w:rsid w:val="000B4C2C"/>
    <w:rsid w:val="000D06DC"/>
    <w:rsid w:val="000E6908"/>
    <w:rsid w:val="000F00AF"/>
    <w:rsid w:val="000F30A0"/>
    <w:rsid w:val="000F30EB"/>
    <w:rsid w:val="000F3DDB"/>
    <w:rsid w:val="00105AE4"/>
    <w:rsid w:val="001103D9"/>
    <w:rsid w:val="00114929"/>
    <w:rsid w:val="001238E6"/>
    <w:rsid w:val="00124966"/>
    <w:rsid w:val="00131CDF"/>
    <w:rsid w:val="00132600"/>
    <w:rsid w:val="00135F55"/>
    <w:rsid w:val="00147041"/>
    <w:rsid w:val="0015243A"/>
    <w:rsid w:val="001737FA"/>
    <w:rsid w:val="001860B5"/>
    <w:rsid w:val="0018629F"/>
    <w:rsid w:val="00186AF4"/>
    <w:rsid w:val="001B1E1A"/>
    <w:rsid w:val="001B1EBA"/>
    <w:rsid w:val="001B1F00"/>
    <w:rsid w:val="001B24B3"/>
    <w:rsid w:val="001C03B4"/>
    <w:rsid w:val="001C1896"/>
    <w:rsid w:val="001C530C"/>
    <w:rsid w:val="001D0F06"/>
    <w:rsid w:val="001E0AC9"/>
    <w:rsid w:val="001E5D23"/>
    <w:rsid w:val="001F045A"/>
    <w:rsid w:val="001F10F6"/>
    <w:rsid w:val="001F1612"/>
    <w:rsid w:val="001F40EC"/>
    <w:rsid w:val="002023F2"/>
    <w:rsid w:val="00202F75"/>
    <w:rsid w:val="00206929"/>
    <w:rsid w:val="002223C1"/>
    <w:rsid w:val="002317FE"/>
    <w:rsid w:val="0024047C"/>
    <w:rsid w:val="00251B54"/>
    <w:rsid w:val="00265563"/>
    <w:rsid w:val="00265B4E"/>
    <w:rsid w:val="0029374E"/>
    <w:rsid w:val="002A7281"/>
    <w:rsid w:val="002B3E40"/>
    <w:rsid w:val="002C4F61"/>
    <w:rsid w:val="002C6736"/>
    <w:rsid w:val="002C7F58"/>
    <w:rsid w:val="002E1872"/>
    <w:rsid w:val="002E23DD"/>
    <w:rsid w:val="002E4841"/>
    <w:rsid w:val="002E77AC"/>
    <w:rsid w:val="002F687F"/>
    <w:rsid w:val="0030697B"/>
    <w:rsid w:val="00306B0C"/>
    <w:rsid w:val="00307645"/>
    <w:rsid w:val="00310571"/>
    <w:rsid w:val="00311281"/>
    <w:rsid w:val="003269E8"/>
    <w:rsid w:val="00326DFC"/>
    <w:rsid w:val="00352A9F"/>
    <w:rsid w:val="00353524"/>
    <w:rsid w:val="00354A35"/>
    <w:rsid w:val="00356C6C"/>
    <w:rsid w:val="003573E7"/>
    <w:rsid w:val="00360AFB"/>
    <w:rsid w:val="00360D86"/>
    <w:rsid w:val="00360F24"/>
    <w:rsid w:val="00361582"/>
    <w:rsid w:val="003652C8"/>
    <w:rsid w:val="003675CB"/>
    <w:rsid w:val="0037404D"/>
    <w:rsid w:val="00376206"/>
    <w:rsid w:val="00377763"/>
    <w:rsid w:val="00384AB8"/>
    <w:rsid w:val="00387BB3"/>
    <w:rsid w:val="003961C3"/>
    <w:rsid w:val="003A6BA6"/>
    <w:rsid w:val="003A7DB6"/>
    <w:rsid w:val="003B3BEE"/>
    <w:rsid w:val="003C0055"/>
    <w:rsid w:val="003C6A06"/>
    <w:rsid w:val="003D146C"/>
    <w:rsid w:val="003D6092"/>
    <w:rsid w:val="003D751F"/>
    <w:rsid w:val="003F50EF"/>
    <w:rsid w:val="0040767D"/>
    <w:rsid w:val="00415059"/>
    <w:rsid w:val="00415088"/>
    <w:rsid w:val="004161A9"/>
    <w:rsid w:val="00422D88"/>
    <w:rsid w:val="00425BC3"/>
    <w:rsid w:val="00455559"/>
    <w:rsid w:val="00467163"/>
    <w:rsid w:val="00472D7F"/>
    <w:rsid w:val="00475A96"/>
    <w:rsid w:val="00487226"/>
    <w:rsid w:val="00494D06"/>
    <w:rsid w:val="004B2D46"/>
    <w:rsid w:val="004C536E"/>
    <w:rsid w:val="004E3E96"/>
    <w:rsid w:val="004F3893"/>
    <w:rsid w:val="00502E71"/>
    <w:rsid w:val="00503803"/>
    <w:rsid w:val="005076CE"/>
    <w:rsid w:val="00535B14"/>
    <w:rsid w:val="005426E4"/>
    <w:rsid w:val="00547601"/>
    <w:rsid w:val="00550B67"/>
    <w:rsid w:val="00550DF3"/>
    <w:rsid w:val="00551485"/>
    <w:rsid w:val="00564372"/>
    <w:rsid w:val="00565C70"/>
    <w:rsid w:val="005726C7"/>
    <w:rsid w:val="0058333D"/>
    <w:rsid w:val="00586768"/>
    <w:rsid w:val="00590CA8"/>
    <w:rsid w:val="0059201D"/>
    <w:rsid w:val="005B120F"/>
    <w:rsid w:val="005B1F41"/>
    <w:rsid w:val="005B20ED"/>
    <w:rsid w:val="005E3A80"/>
    <w:rsid w:val="005F6DBD"/>
    <w:rsid w:val="006005D7"/>
    <w:rsid w:val="00606025"/>
    <w:rsid w:val="0061022E"/>
    <w:rsid w:val="00624567"/>
    <w:rsid w:val="00640A8C"/>
    <w:rsid w:val="00641669"/>
    <w:rsid w:val="00643328"/>
    <w:rsid w:val="00646DA2"/>
    <w:rsid w:val="006540D0"/>
    <w:rsid w:val="006541E9"/>
    <w:rsid w:val="006571C8"/>
    <w:rsid w:val="006653DD"/>
    <w:rsid w:val="00667F63"/>
    <w:rsid w:val="00677643"/>
    <w:rsid w:val="00677B2A"/>
    <w:rsid w:val="006A3641"/>
    <w:rsid w:val="006A7B72"/>
    <w:rsid w:val="006B0444"/>
    <w:rsid w:val="006B069F"/>
    <w:rsid w:val="006B5195"/>
    <w:rsid w:val="006C26E7"/>
    <w:rsid w:val="006C5C26"/>
    <w:rsid w:val="006D3C33"/>
    <w:rsid w:val="006D7AAB"/>
    <w:rsid w:val="006E6A85"/>
    <w:rsid w:val="006E740D"/>
    <w:rsid w:val="00707B0C"/>
    <w:rsid w:val="0071540F"/>
    <w:rsid w:val="007161BD"/>
    <w:rsid w:val="00722ACD"/>
    <w:rsid w:val="00727C4A"/>
    <w:rsid w:val="00727F0C"/>
    <w:rsid w:val="00730C5B"/>
    <w:rsid w:val="00732302"/>
    <w:rsid w:val="00733056"/>
    <w:rsid w:val="007467EE"/>
    <w:rsid w:val="0075120F"/>
    <w:rsid w:val="007603EE"/>
    <w:rsid w:val="007611BC"/>
    <w:rsid w:val="00763416"/>
    <w:rsid w:val="007723B0"/>
    <w:rsid w:val="007732ED"/>
    <w:rsid w:val="00783125"/>
    <w:rsid w:val="007833C2"/>
    <w:rsid w:val="007A3EBB"/>
    <w:rsid w:val="007B2347"/>
    <w:rsid w:val="007B473B"/>
    <w:rsid w:val="007C4824"/>
    <w:rsid w:val="007D0F3E"/>
    <w:rsid w:val="007D29FF"/>
    <w:rsid w:val="007D3AF0"/>
    <w:rsid w:val="007E393F"/>
    <w:rsid w:val="007F0B71"/>
    <w:rsid w:val="007F3EB0"/>
    <w:rsid w:val="00806219"/>
    <w:rsid w:val="0080735B"/>
    <w:rsid w:val="008101A3"/>
    <w:rsid w:val="00811922"/>
    <w:rsid w:val="00812E36"/>
    <w:rsid w:val="008132DB"/>
    <w:rsid w:val="00814101"/>
    <w:rsid w:val="00815B4F"/>
    <w:rsid w:val="00816E0A"/>
    <w:rsid w:val="00817ADC"/>
    <w:rsid w:val="00817FE2"/>
    <w:rsid w:val="008304FA"/>
    <w:rsid w:val="00831719"/>
    <w:rsid w:val="008330C0"/>
    <w:rsid w:val="008370E8"/>
    <w:rsid w:val="00840703"/>
    <w:rsid w:val="008417AE"/>
    <w:rsid w:val="00844163"/>
    <w:rsid w:val="00847819"/>
    <w:rsid w:val="00855352"/>
    <w:rsid w:val="008718CB"/>
    <w:rsid w:val="00877DBB"/>
    <w:rsid w:val="008921F9"/>
    <w:rsid w:val="00897CC8"/>
    <w:rsid w:val="008A07C3"/>
    <w:rsid w:val="008A202E"/>
    <w:rsid w:val="008B07A7"/>
    <w:rsid w:val="008B1981"/>
    <w:rsid w:val="008C24E9"/>
    <w:rsid w:val="008C54EE"/>
    <w:rsid w:val="008D0512"/>
    <w:rsid w:val="008E2D1A"/>
    <w:rsid w:val="008E30D6"/>
    <w:rsid w:val="008F2B96"/>
    <w:rsid w:val="0090474A"/>
    <w:rsid w:val="0091091F"/>
    <w:rsid w:val="00913838"/>
    <w:rsid w:val="00917C3B"/>
    <w:rsid w:val="00923025"/>
    <w:rsid w:val="009240ED"/>
    <w:rsid w:val="00924391"/>
    <w:rsid w:val="00925DE9"/>
    <w:rsid w:val="00936B90"/>
    <w:rsid w:val="00940ACE"/>
    <w:rsid w:val="00943464"/>
    <w:rsid w:val="009503F1"/>
    <w:rsid w:val="00957036"/>
    <w:rsid w:val="00971026"/>
    <w:rsid w:val="00980E91"/>
    <w:rsid w:val="009837B8"/>
    <w:rsid w:val="00986CEA"/>
    <w:rsid w:val="009955F2"/>
    <w:rsid w:val="009A021B"/>
    <w:rsid w:val="009A4147"/>
    <w:rsid w:val="009B07CE"/>
    <w:rsid w:val="009B1FB1"/>
    <w:rsid w:val="009D33D1"/>
    <w:rsid w:val="009E018E"/>
    <w:rsid w:val="009E2B8F"/>
    <w:rsid w:val="009E37EA"/>
    <w:rsid w:val="009E4C6E"/>
    <w:rsid w:val="009F30FF"/>
    <w:rsid w:val="009F5124"/>
    <w:rsid w:val="00A22012"/>
    <w:rsid w:val="00A22126"/>
    <w:rsid w:val="00A225B0"/>
    <w:rsid w:val="00A2326A"/>
    <w:rsid w:val="00A27D56"/>
    <w:rsid w:val="00A30545"/>
    <w:rsid w:val="00A30C87"/>
    <w:rsid w:val="00A35207"/>
    <w:rsid w:val="00A44464"/>
    <w:rsid w:val="00A53253"/>
    <w:rsid w:val="00A536F7"/>
    <w:rsid w:val="00A6452F"/>
    <w:rsid w:val="00A6720C"/>
    <w:rsid w:val="00A7243E"/>
    <w:rsid w:val="00A8254A"/>
    <w:rsid w:val="00A967CD"/>
    <w:rsid w:val="00AA3D64"/>
    <w:rsid w:val="00AB33CD"/>
    <w:rsid w:val="00AB4084"/>
    <w:rsid w:val="00AB644B"/>
    <w:rsid w:val="00AC1A28"/>
    <w:rsid w:val="00AC3116"/>
    <w:rsid w:val="00AC7913"/>
    <w:rsid w:val="00AE5A26"/>
    <w:rsid w:val="00AE6D74"/>
    <w:rsid w:val="00AF6237"/>
    <w:rsid w:val="00B03B39"/>
    <w:rsid w:val="00B15117"/>
    <w:rsid w:val="00B15AEB"/>
    <w:rsid w:val="00B17D2D"/>
    <w:rsid w:val="00B306B3"/>
    <w:rsid w:val="00B3199A"/>
    <w:rsid w:val="00B40CFC"/>
    <w:rsid w:val="00B45F7C"/>
    <w:rsid w:val="00B638FD"/>
    <w:rsid w:val="00B6408C"/>
    <w:rsid w:val="00B664AB"/>
    <w:rsid w:val="00B66FFE"/>
    <w:rsid w:val="00B72977"/>
    <w:rsid w:val="00B76204"/>
    <w:rsid w:val="00B80ABE"/>
    <w:rsid w:val="00B862B7"/>
    <w:rsid w:val="00B91801"/>
    <w:rsid w:val="00B92159"/>
    <w:rsid w:val="00B96B66"/>
    <w:rsid w:val="00B9732E"/>
    <w:rsid w:val="00BA0992"/>
    <w:rsid w:val="00BA58D4"/>
    <w:rsid w:val="00BA5DBD"/>
    <w:rsid w:val="00BB4077"/>
    <w:rsid w:val="00BC09E7"/>
    <w:rsid w:val="00BC0D68"/>
    <w:rsid w:val="00BC2E8F"/>
    <w:rsid w:val="00BC663B"/>
    <w:rsid w:val="00BC72BD"/>
    <w:rsid w:val="00BD049C"/>
    <w:rsid w:val="00BD60DA"/>
    <w:rsid w:val="00BE1293"/>
    <w:rsid w:val="00BE36D0"/>
    <w:rsid w:val="00BF2F7B"/>
    <w:rsid w:val="00C14CE7"/>
    <w:rsid w:val="00C165FC"/>
    <w:rsid w:val="00C17B1A"/>
    <w:rsid w:val="00C21F07"/>
    <w:rsid w:val="00C25A59"/>
    <w:rsid w:val="00C33A8C"/>
    <w:rsid w:val="00C428B8"/>
    <w:rsid w:val="00C5179F"/>
    <w:rsid w:val="00C5250D"/>
    <w:rsid w:val="00C55FF6"/>
    <w:rsid w:val="00C56772"/>
    <w:rsid w:val="00C618EB"/>
    <w:rsid w:val="00C653DC"/>
    <w:rsid w:val="00C71094"/>
    <w:rsid w:val="00C74832"/>
    <w:rsid w:val="00C77076"/>
    <w:rsid w:val="00C823B7"/>
    <w:rsid w:val="00C82EE1"/>
    <w:rsid w:val="00C83BF1"/>
    <w:rsid w:val="00CA216B"/>
    <w:rsid w:val="00CA43B9"/>
    <w:rsid w:val="00CA7F6B"/>
    <w:rsid w:val="00CB0D88"/>
    <w:rsid w:val="00CB176C"/>
    <w:rsid w:val="00CB3C00"/>
    <w:rsid w:val="00CC6F5A"/>
    <w:rsid w:val="00CE0096"/>
    <w:rsid w:val="00CF38E3"/>
    <w:rsid w:val="00CF3BC0"/>
    <w:rsid w:val="00CF5673"/>
    <w:rsid w:val="00CF65C1"/>
    <w:rsid w:val="00D048B6"/>
    <w:rsid w:val="00D14216"/>
    <w:rsid w:val="00D154A8"/>
    <w:rsid w:val="00D16704"/>
    <w:rsid w:val="00D17FC1"/>
    <w:rsid w:val="00D2363C"/>
    <w:rsid w:val="00D313F3"/>
    <w:rsid w:val="00D32620"/>
    <w:rsid w:val="00D32C4C"/>
    <w:rsid w:val="00D33E5C"/>
    <w:rsid w:val="00D52B1F"/>
    <w:rsid w:val="00D77352"/>
    <w:rsid w:val="00D85558"/>
    <w:rsid w:val="00DB7429"/>
    <w:rsid w:val="00DC007D"/>
    <w:rsid w:val="00DC17F3"/>
    <w:rsid w:val="00DD2515"/>
    <w:rsid w:val="00DE028F"/>
    <w:rsid w:val="00DE290C"/>
    <w:rsid w:val="00DE36FD"/>
    <w:rsid w:val="00DE47C9"/>
    <w:rsid w:val="00DE7401"/>
    <w:rsid w:val="00E01E54"/>
    <w:rsid w:val="00E0498E"/>
    <w:rsid w:val="00E1298D"/>
    <w:rsid w:val="00E12BC1"/>
    <w:rsid w:val="00E14C00"/>
    <w:rsid w:val="00E151BC"/>
    <w:rsid w:val="00E22ECC"/>
    <w:rsid w:val="00E45C1E"/>
    <w:rsid w:val="00E467D2"/>
    <w:rsid w:val="00E55191"/>
    <w:rsid w:val="00E769F8"/>
    <w:rsid w:val="00E77AE6"/>
    <w:rsid w:val="00E824CE"/>
    <w:rsid w:val="00E82E68"/>
    <w:rsid w:val="00E84520"/>
    <w:rsid w:val="00E95DD7"/>
    <w:rsid w:val="00EC5365"/>
    <w:rsid w:val="00EC576E"/>
    <w:rsid w:val="00EE76A2"/>
    <w:rsid w:val="00EF03D2"/>
    <w:rsid w:val="00EF0C5A"/>
    <w:rsid w:val="00EF2300"/>
    <w:rsid w:val="00EF5F3E"/>
    <w:rsid w:val="00EF6868"/>
    <w:rsid w:val="00F029BE"/>
    <w:rsid w:val="00F04FCF"/>
    <w:rsid w:val="00F072C0"/>
    <w:rsid w:val="00F15970"/>
    <w:rsid w:val="00F161C3"/>
    <w:rsid w:val="00F17AAF"/>
    <w:rsid w:val="00F233E5"/>
    <w:rsid w:val="00F31647"/>
    <w:rsid w:val="00F31E99"/>
    <w:rsid w:val="00F402DC"/>
    <w:rsid w:val="00F4450E"/>
    <w:rsid w:val="00F5143D"/>
    <w:rsid w:val="00F53D6A"/>
    <w:rsid w:val="00F56B17"/>
    <w:rsid w:val="00F56B3B"/>
    <w:rsid w:val="00F633BF"/>
    <w:rsid w:val="00F80D43"/>
    <w:rsid w:val="00F82964"/>
    <w:rsid w:val="00F85EB8"/>
    <w:rsid w:val="00FB03C1"/>
    <w:rsid w:val="00FB7463"/>
    <w:rsid w:val="00FC0BED"/>
    <w:rsid w:val="00FC7BBD"/>
    <w:rsid w:val="00FD14DB"/>
    <w:rsid w:val="00FD40A7"/>
    <w:rsid w:val="00FF13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BDE"/>
    <w:rPr>
      <w:rFonts w:ascii="Times New Roman" w:eastAsia="Times New Roman" w:hAnsi="Times New Roman"/>
    </w:rPr>
  </w:style>
  <w:style w:type="paragraph" w:styleId="Nagwek1">
    <w:name w:val="heading 1"/>
    <w:basedOn w:val="Normalny"/>
    <w:next w:val="Normalny"/>
    <w:link w:val="Nagwek1Znak"/>
    <w:uiPriority w:val="9"/>
    <w:qFormat/>
    <w:rsid w:val="006E740D"/>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iPriority w:val="9"/>
    <w:unhideWhenUsed/>
    <w:qFormat/>
    <w:rsid w:val="006E74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56B3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2E36"/>
    <w:rPr>
      <w:rFonts w:ascii="Tahoma" w:hAnsi="Tahoma" w:cs="Tahoma"/>
      <w:sz w:val="16"/>
      <w:szCs w:val="16"/>
    </w:rPr>
  </w:style>
  <w:style w:type="character" w:customStyle="1" w:styleId="TekstdymkaZnak">
    <w:name w:val="Tekst dymka Znak"/>
    <w:basedOn w:val="Domylnaczcionkaakapitu"/>
    <w:link w:val="Tekstdymka"/>
    <w:uiPriority w:val="99"/>
    <w:semiHidden/>
    <w:rsid w:val="00812E36"/>
    <w:rPr>
      <w:rFonts w:ascii="Tahoma" w:hAnsi="Tahoma" w:cs="Tahoma"/>
      <w:sz w:val="16"/>
      <w:szCs w:val="16"/>
    </w:rPr>
  </w:style>
  <w:style w:type="paragraph" w:styleId="Nagwek">
    <w:name w:val="header"/>
    <w:basedOn w:val="Normalny"/>
    <w:link w:val="NagwekZnak"/>
    <w:uiPriority w:val="99"/>
    <w:unhideWhenUsed/>
    <w:rsid w:val="000E6908"/>
    <w:pPr>
      <w:tabs>
        <w:tab w:val="center" w:pos="4536"/>
        <w:tab w:val="right" w:pos="9072"/>
      </w:tabs>
    </w:pPr>
    <w:rPr>
      <w:color w:val="003478"/>
      <w:sz w:val="16"/>
    </w:rPr>
  </w:style>
  <w:style w:type="character" w:customStyle="1" w:styleId="NagwekZnak">
    <w:name w:val="Nagłówek Znak"/>
    <w:basedOn w:val="Domylnaczcionkaakapitu"/>
    <w:link w:val="Nagwek"/>
    <w:uiPriority w:val="99"/>
    <w:rsid w:val="000E6908"/>
    <w:rPr>
      <w:color w:val="003478"/>
      <w:sz w:val="16"/>
    </w:rPr>
  </w:style>
  <w:style w:type="paragraph" w:styleId="Stopka">
    <w:name w:val="footer"/>
    <w:basedOn w:val="Nagwek"/>
    <w:link w:val="StopkaZnak"/>
    <w:uiPriority w:val="99"/>
    <w:unhideWhenUsed/>
    <w:rsid w:val="005726C7"/>
    <w:pPr>
      <w:tabs>
        <w:tab w:val="left" w:pos="0"/>
      </w:tabs>
    </w:pPr>
  </w:style>
  <w:style w:type="character" w:customStyle="1" w:styleId="StopkaZnak">
    <w:name w:val="Stopka Znak"/>
    <w:basedOn w:val="Domylnaczcionkaakapitu"/>
    <w:link w:val="Stopka"/>
    <w:uiPriority w:val="99"/>
    <w:rsid w:val="005726C7"/>
    <w:rPr>
      <w:color w:val="003478"/>
      <w:sz w:val="16"/>
    </w:rPr>
  </w:style>
  <w:style w:type="character" w:styleId="Hipercze">
    <w:name w:val="Hyperlink"/>
    <w:basedOn w:val="Domylnaczcionkaakapitu"/>
    <w:uiPriority w:val="99"/>
    <w:unhideWhenUsed/>
    <w:rsid w:val="00361582"/>
    <w:rPr>
      <w:color w:val="003478"/>
      <w:u w:val="single"/>
    </w:rPr>
  </w:style>
  <w:style w:type="character" w:styleId="UyteHipercze">
    <w:name w:val="FollowedHyperlink"/>
    <w:basedOn w:val="Hipercze"/>
    <w:uiPriority w:val="99"/>
    <w:semiHidden/>
    <w:unhideWhenUsed/>
    <w:rsid w:val="00361582"/>
  </w:style>
  <w:style w:type="character" w:styleId="Odwoaniedokomentarza">
    <w:name w:val="annotation reference"/>
    <w:basedOn w:val="Domylnaczcionkaakapitu"/>
    <w:uiPriority w:val="99"/>
    <w:semiHidden/>
    <w:unhideWhenUsed/>
    <w:rsid w:val="00B76204"/>
    <w:rPr>
      <w:sz w:val="16"/>
      <w:szCs w:val="16"/>
    </w:rPr>
  </w:style>
  <w:style w:type="paragraph" w:styleId="Tekstkomentarza">
    <w:name w:val="annotation text"/>
    <w:basedOn w:val="Normalny"/>
    <w:link w:val="TekstkomentarzaZnak"/>
    <w:uiPriority w:val="99"/>
    <w:semiHidden/>
    <w:unhideWhenUsed/>
    <w:rsid w:val="00B76204"/>
  </w:style>
  <w:style w:type="character" w:customStyle="1" w:styleId="TekstkomentarzaZnak">
    <w:name w:val="Tekst komentarza Znak"/>
    <w:basedOn w:val="Domylnaczcionkaakapitu"/>
    <w:link w:val="Tekstkomentarza"/>
    <w:uiPriority w:val="99"/>
    <w:semiHidden/>
    <w:rsid w:val="00B7620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76204"/>
    <w:rPr>
      <w:b/>
      <w:bCs/>
    </w:rPr>
  </w:style>
  <w:style w:type="character" w:customStyle="1" w:styleId="TematkomentarzaZnak">
    <w:name w:val="Temat komentarza Znak"/>
    <w:basedOn w:val="TekstkomentarzaZnak"/>
    <w:link w:val="Tematkomentarza"/>
    <w:uiPriority w:val="99"/>
    <w:semiHidden/>
    <w:rsid w:val="00B76204"/>
    <w:rPr>
      <w:b/>
      <w:bCs/>
    </w:rPr>
  </w:style>
  <w:style w:type="character" w:customStyle="1" w:styleId="Nagwek1Znak">
    <w:name w:val="Nagłówek 1 Znak"/>
    <w:basedOn w:val="Domylnaczcionkaakapitu"/>
    <w:link w:val="Nagwek1"/>
    <w:uiPriority w:val="9"/>
    <w:rsid w:val="006E740D"/>
    <w:rPr>
      <w:rFonts w:ascii="Cambria" w:eastAsia="Times New Roman" w:hAnsi="Cambria"/>
      <w:b/>
      <w:bCs/>
      <w:color w:val="365F91"/>
      <w:sz w:val="28"/>
      <w:szCs w:val="28"/>
    </w:rPr>
  </w:style>
  <w:style w:type="paragraph" w:styleId="NormalnyWeb">
    <w:name w:val="Normal (Web)"/>
    <w:basedOn w:val="Normalny"/>
    <w:uiPriority w:val="99"/>
    <w:unhideWhenUsed/>
    <w:rsid w:val="006E740D"/>
    <w:pPr>
      <w:spacing w:before="100" w:beforeAutospacing="1" w:after="100" w:afterAutospacing="1"/>
    </w:pPr>
    <w:rPr>
      <w:sz w:val="24"/>
      <w:szCs w:val="24"/>
    </w:rPr>
  </w:style>
  <w:style w:type="character" w:styleId="Pogrubienie">
    <w:name w:val="Strong"/>
    <w:basedOn w:val="Domylnaczcionkaakapitu"/>
    <w:uiPriority w:val="22"/>
    <w:qFormat/>
    <w:rsid w:val="006E740D"/>
    <w:rPr>
      <w:b/>
      <w:bCs/>
    </w:rPr>
  </w:style>
  <w:style w:type="character" w:customStyle="1" w:styleId="Nagwek2Znak">
    <w:name w:val="Nagłówek 2 Znak"/>
    <w:basedOn w:val="Domylnaczcionkaakapitu"/>
    <w:link w:val="Nagwek2"/>
    <w:uiPriority w:val="9"/>
    <w:rsid w:val="006E740D"/>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091FD7"/>
    <w:pPr>
      <w:spacing w:after="200" w:line="276"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5B1F41"/>
    <w:rPr>
      <w:rFonts w:asciiTheme="minorHAnsi" w:eastAsiaTheme="minorHAnsi" w:hAnsiTheme="minorHAnsi" w:cstheme="minorBidi"/>
      <w:sz w:val="24"/>
      <w:szCs w:val="24"/>
      <w:lang w:eastAsia="en-US"/>
    </w:rPr>
  </w:style>
  <w:style w:type="character" w:customStyle="1" w:styleId="TekstprzypisudolnegoZnak">
    <w:name w:val="Tekst przypisu dolnego Znak"/>
    <w:basedOn w:val="Domylnaczcionkaakapitu"/>
    <w:link w:val="Tekstprzypisudolnego"/>
    <w:uiPriority w:val="99"/>
    <w:semiHidden/>
    <w:rsid w:val="005B1F41"/>
    <w:rPr>
      <w:rFonts w:asciiTheme="minorHAnsi" w:eastAsiaTheme="minorHAnsi" w:hAnsiTheme="minorHAnsi" w:cstheme="minorBidi"/>
      <w:sz w:val="24"/>
      <w:szCs w:val="24"/>
      <w:lang w:eastAsia="en-US"/>
    </w:rPr>
  </w:style>
  <w:style w:type="character" w:styleId="Odwoanieprzypisudolnego">
    <w:name w:val="footnote reference"/>
    <w:basedOn w:val="Domylnaczcionkaakapitu"/>
    <w:uiPriority w:val="99"/>
    <w:semiHidden/>
    <w:unhideWhenUsed/>
    <w:rsid w:val="005B1F41"/>
    <w:rPr>
      <w:vertAlign w:val="superscript"/>
    </w:rPr>
  </w:style>
  <w:style w:type="paragraph" w:styleId="Tekstpodstawowy">
    <w:name w:val="Body Text"/>
    <w:basedOn w:val="Normalny"/>
    <w:link w:val="TekstpodstawowyZnak"/>
    <w:rsid w:val="00105AE4"/>
    <w:pPr>
      <w:suppressAutoHyphens/>
      <w:spacing w:after="140" w:line="288" w:lineRule="auto"/>
      <w:jc w:val="both"/>
    </w:pPr>
    <w:rPr>
      <w:rFonts w:ascii="Calibri" w:eastAsia="ＭＳ 明朝" w:hAnsi="Calibri" w:cs="Tahoma"/>
      <w:kern w:val="1"/>
      <w:sz w:val="24"/>
      <w:szCs w:val="24"/>
      <w:lang w:val="cs-CZ"/>
    </w:rPr>
  </w:style>
  <w:style w:type="character" w:customStyle="1" w:styleId="TekstpodstawowyZnak">
    <w:name w:val="Tekst podstawowy Znak"/>
    <w:basedOn w:val="Domylnaczcionkaakapitu"/>
    <w:link w:val="Tekstpodstawowy"/>
    <w:rsid w:val="00105AE4"/>
    <w:rPr>
      <w:rFonts w:eastAsia="ＭＳ 明朝" w:cs="Tahoma"/>
      <w:kern w:val="1"/>
      <w:sz w:val="24"/>
      <w:szCs w:val="24"/>
      <w:lang w:val="cs-CZ"/>
    </w:rPr>
  </w:style>
  <w:style w:type="character" w:customStyle="1" w:styleId="Nagwek3Znak">
    <w:name w:val="Nagłówek 3 Znak"/>
    <w:basedOn w:val="Domylnaczcionkaakapitu"/>
    <w:link w:val="Nagwek3"/>
    <w:uiPriority w:val="9"/>
    <w:rsid w:val="00F56B3B"/>
    <w:rPr>
      <w:rFonts w:asciiTheme="majorHAnsi" w:eastAsiaTheme="majorEastAsia" w:hAnsiTheme="majorHAnsi" w:cstheme="majorBidi"/>
      <w:b/>
      <w:bCs/>
      <w:color w:val="4F81BD" w:themeColor="accent1"/>
    </w:rPr>
  </w:style>
  <w:style w:type="paragraph" w:customStyle="1" w:styleId="Default">
    <w:name w:val="Default"/>
    <w:rsid w:val="00084BC1"/>
    <w:pPr>
      <w:autoSpaceDE w:val="0"/>
      <w:autoSpaceDN w:val="0"/>
      <w:adjustRightInd w:val="0"/>
    </w:pPr>
    <w:rPr>
      <w:rFonts w:ascii="Segoe UI" w:hAnsi="Segoe UI" w:cs="Segoe UI"/>
      <w:color w:val="000000"/>
      <w:sz w:val="24"/>
      <w:szCs w:val="24"/>
    </w:rPr>
  </w:style>
  <w:style w:type="character" w:customStyle="1" w:styleId="strong">
    <w:name w:val="strong"/>
    <w:basedOn w:val="Domylnaczcionkaakapitu"/>
    <w:rsid w:val="00A225B0"/>
  </w:style>
  <w:style w:type="character" w:customStyle="1" w:styleId="st">
    <w:name w:val="st"/>
    <w:basedOn w:val="Domylnaczcionkaakapitu"/>
    <w:rsid w:val="00924391"/>
  </w:style>
  <w:style w:type="paragraph" w:customStyle="1" w:styleId="Akapitzlist1">
    <w:name w:val="Akapit z listą1"/>
    <w:basedOn w:val="Normalny"/>
    <w:rsid w:val="00147041"/>
    <w:pPr>
      <w:ind w:left="720"/>
      <w:contextualSpacing/>
    </w:pPr>
    <w:rPr>
      <w:rFonts w:ascii="Cambria" w:eastAsia="MS Mincho" w:hAnsi="Cambria"/>
      <w:sz w:val="24"/>
      <w:szCs w:val="24"/>
      <w:lang w:val="cs-CZ"/>
    </w:rPr>
  </w:style>
</w:styles>
</file>

<file path=word/webSettings.xml><?xml version="1.0" encoding="utf-8"?>
<w:webSettings xmlns:r="http://schemas.openxmlformats.org/officeDocument/2006/relationships" xmlns:w="http://schemas.openxmlformats.org/wordprocessingml/2006/main">
  <w:divs>
    <w:div w:id="679937722">
      <w:bodyDiv w:val="1"/>
      <w:marLeft w:val="0"/>
      <w:marRight w:val="0"/>
      <w:marTop w:val="0"/>
      <w:marBottom w:val="0"/>
      <w:divBdr>
        <w:top w:val="none" w:sz="0" w:space="0" w:color="auto"/>
        <w:left w:val="none" w:sz="0" w:space="0" w:color="auto"/>
        <w:bottom w:val="none" w:sz="0" w:space="0" w:color="auto"/>
        <w:right w:val="none" w:sz="0" w:space="0" w:color="auto"/>
      </w:divBdr>
    </w:div>
    <w:div w:id="907957070">
      <w:bodyDiv w:val="1"/>
      <w:marLeft w:val="0"/>
      <w:marRight w:val="0"/>
      <w:marTop w:val="0"/>
      <w:marBottom w:val="0"/>
      <w:divBdr>
        <w:top w:val="none" w:sz="0" w:space="0" w:color="auto"/>
        <w:left w:val="none" w:sz="0" w:space="0" w:color="auto"/>
        <w:bottom w:val="none" w:sz="0" w:space="0" w:color="auto"/>
        <w:right w:val="none" w:sz="0" w:space="0" w:color="auto"/>
      </w:divBdr>
      <w:divsChild>
        <w:div w:id="691305564">
          <w:marLeft w:val="0"/>
          <w:marRight w:val="0"/>
          <w:marTop w:val="0"/>
          <w:marBottom w:val="0"/>
          <w:divBdr>
            <w:top w:val="none" w:sz="0" w:space="0" w:color="auto"/>
            <w:left w:val="none" w:sz="0" w:space="0" w:color="auto"/>
            <w:bottom w:val="none" w:sz="0" w:space="0" w:color="auto"/>
            <w:right w:val="none" w:sz="0" w:space="0" w:color="auto"/>
          </w:divBdr>
        </w:div>
        <w:div w:id="1910574868">
          <w:marLeft w:val="0"/>
          <w:marRight w:val="0"/>
          <w:marTop w:val="0"/>
          <w:marBottom w:val="0"/>
          <w:divBdr>
            <w:top w:val="none" w:sz="0" w:space="0" w:color="auto"/>
            <w:left w:val="none" w:sz="0" w:space="0" w:color="auto"/>
            <w:bottom w:val="none" w:sz="0" w:space="0" w:color="auto"/>
            <w:right w:val="none" w:sz="0" w:space="0" w:color="auto"/>
          </w:divBdr>
        </w:div>
        <w:div w:id="224684962">
          <w:marLeft w:val="0"/>
          <w:marRight w:val="0"/>
          <w:marTop w:val="0"/>
          <w:marBottom w:val="0"/>
          <w:divBdr>
            <w:top w:val="none" w:sz="0" w:space="0" w:color="auto"/>
            <w:left w:val="none" w:sz="0" w:space="0" w:color="auto"/>
            <w:bottom w:val="none" w:sz="0" w:space="0" w:color="auto"/>
            <w:right w:val="none" w:sz="0" w:space="0" w:color="auto"/>
          </w:divBdr>
        </w:div>
        <w:div w:id="1148520896">
          <w:marLeft w:val="0"/>
          <w:marRight w:val="0"/>
          <w:marTop w:val="0"/>
          <w:marBottom w:val="0"/>
          <w:divBdr>
            <w:top w:val="none" w:sz="0" w:space="0" w:color="auto"/>
            <w:left w:val="none" w:sz="0" w:space="0" w:color="auto"/>
            <w:bottom w:val="none" w:sz="0" w:space="0" w:color="auto"/>
            <w:right w:val="none" w:sz="0" w:space="0" w:color="auto"/>
          </w:divBdr>
        </w:div>
        <w:div w:id="601450149">
          <w:marLeft w:val="0"/>
          <w:marRight w:val="0"/>
          <w:marTop w:val="0"/>
          <w:marBottom w:val="0"/>
          <w:divBdr>
            <w:top w:val="none" w:sz="0" w:space="0" w:color="auto"/>
            <w:left w:val="none" w:sz="0" w:space="0" w:color="auto"/>
            <w:bottom w:val="none" w:sz="0" w:space="0" w:color="auto"/>
            <w:right w:val="none" w:sz="0" w:space="0" w:color="auto"/>
          </w:divBdr>
        </w:div>
        <w:div w:id="1838613673">
          <w:marLeft w:val="0"/>
          <w:marRight w:val="0"/>
          <w:marTop w:val="0"/>
          <w:marBottom w:val="0"/>
          <w:divBdr>
            <w:top w:val="none" w:sz="0" w:space="0" w:color="auto"/>
            <w:left w:val="none" w:sz="0" w:space="0" w:color="auto"/>
            <w:bottom w:val="none" w:sz="0" w:space="0" w:color="auto"/>
            <w:right w:val="none" w:sz="0" w:space="0" w:color="auto"/>
          </w:divBdr>
        </w:div>
        <w:div w:id="1628470396">
          <w:marLeft w:val="0"/>
          <w:marRight w:val="0"/>
          <w:marTop w:val="0"/>
          <w:marBottom w:val="0"/>
          <w:divBdr>
            <w:top w:val="none" w:sz="0" w:space="0" w:color="auto"/>
            <w:left w:val="none" w:sz="0" w:space="0" w:color="auto"/>
            <w:bottom w:val="none" w:sz="0" w:space="0" w:color="auto"/>
            <w:right w:val="none" w:sz="0" w:space="0" w:color="auto"/>
          </w:divBdr>
        </w:div>
        <w:div w:id="1360744879">
          <w:marLeft w:val="0"/>
          <w:marRight w:val="0"/>
          <w:marTop w:val="0"/>
          <w:marBottom w:val="0"/>
          <w:divBdr>
            <w:top w:val="none" w:sz="0" w:space="0" w:color="auto"/>
            <w:left w:val="none" w:sz="0" w:space="0" w:color="auto"/>
            <w:bottom w:val="none" w:sz="0" w:space="0" w:color="auto"/>
            <w:right w:val="none" w:sz="0" w:space="0" w:color="auto"/>
          </w:divBdr>
        </w:div>
        <w:div w:id="1055130083">
          <w:marLeft w:val="0"/>
          <w:marRight w:val="0"/>
          <w:marTop w:val="0"/>
          <w:marBottom w:val="0"/>
          <w:divBdr>
            <w:top w:val="none" w:sz="0" w:space="0" w:color="auto"/>
            <w:left w:val="none" w:sz="0" w:space="0" w:color="auto"/>
            <w:bottom w:val="none" w:sz="0" w:space="0" w:color="auto"/>
            <w:right w:val="none" w:sz="0" w:space="0" w:color="auto"/>
          </w:divBdr>
        </w:div>
        <w:div w:id="2092003388">
          <w:marLeft w:val="0"/>
          <w:marRight w:val="0"/>
          <w:marTop w:val="0"/>
          <w:marBottom w:val="0"/>
          <w:divBdr>
            <w:top w:val="none" w:sz="0" w:space="0" w:color="auto"/>
            <w:left w:val="none" w:sz="0" w:space="0" w:color="auto"/>
            <w:bottom w:val="none" w:sz="0" w:space="0" w:color="auto"/>
            <w:right w:val="none" w:sz="0" w:space="0" w:color="auto"/>
          </w:divBdr>
        </w:div>
        <w:div w:id="1420982501">
          <w:marLeft w:val="0"/>
          <w:marRight w:val="0"/>
          <w:marTop w:val="0"/>
          <w:marBottom w:val="0"/>
          <w:divBdr>
            <w:top w:val="none" w:sz="0" w:space="0" w:color="auto"/>
            <w:left w:val="none" w:sz="0" w:space="0" w:color="auto"/>
            <w:bottom w:val="none" w:sz="0" w:space="0" w:color="auto"/>
            <w:right w:val="none" w:sz="0" w:space="0" w:color="auto"/>
          </w:divBdr>
        </w:div>
        <w:div w:id="320038849">
          <w:marLeft w:val="0"/>
          <w:marRight w:val="0"/>
          <w:marTop w:val="0"/>
          <w:marBottom w:val="0"/>
          <w:divBdr>
            <w:top w:val="none" w:sz="0" w:space="0" w:color="auto"/>
            <w:left w:val="none" w:sz="0" w:space="0" w:color="auto"/>
            <w:bottom w:val="none" w:sz="0" w:space="0" w:color="auto"/>
            <w:right w:val="none" w:sz="0" w:space="0" w:color="auto"/>
          </w:divBdr>
        </w:div>
        <w:div w:id="2113351157">
          <w:marLeft w:val="0"/>
          <w:marRight w:val="0"/>
          <w:marTop w:val="0"/>
          <w:marBottom w:val="0"/>
          <w:divBdr>
            <w:top w:val="none" w:sz="0" w:space="0" w:color="auto"/>
            <w:left w:val="none" w:sz="0" w:space="0" w:color="auto"/>
            <w:bottom w:val="none" w:sz="0" w:space="0" w:color="auto"/>
            <w:right w:val="none" w:sz="0" w:space="0" w:color="auto"/>
          </w:divBdr>
        </w:div>
      </w:divsChild>
    </w:div>
    <w:div w:id="1513257813">
      <w:bodyDiv w:val="1"/>
      <w:marLeft w:val="0"/>
      <w:marRight w:val="0"/>
      <w:marTop w:val="0"/>
      <w:marBottom w:val="0"/>
      <w:divBdr>
        <w:top w:val="none" w:sz="0" w:space="0" w:color="auto"/>
        <w:left w:val="none" w:sz="0" w:space="0" w:color="auto"/>
        <w:bottom w:val="none" w:sz="0" w:space="0" w:color="auto"/>
        <w:right w:val="none" w:sz="0" w:space="0" w:color="auto"/>
      </w:divBdr>
    </w:div>
    <w:div w:id="15338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2fCVB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t.ly/Batory_KartaWyborczaBroszur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hyperlink" Target="http://www.batory.org.pl" TargetMode="External"/><Relationship Id="rId2" Type="http://schemas.openxmlformats.org/officeDocument/2006/relationships/hyperlink" Target="mailto:batory@batory.org.p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Everyone\Szablony\FSB\FSB_p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FADE2-5381-4DA8-8B80-D7912421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FSB_pl.dotx</Template>
  <TotalTime>1</TotalTime>
  <Pages>3</Pages>
  <Words>1101</Words>
  <Characters>6607</Characters>
  <Application>Microsoft Office Word</Application>
  <DocSecurity>4</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7693</CharactersWithSpaces>
  <SharedDoc>false</SharedDoc>
  <HLinks>
    <vt:vector size="12" baseType="variant">
      <vt:variant>
        <vt:i4>5308511</vt:i4>
      </vt:variant>
      <vt:variant>
        <vt:i4>6</vt:i4>
      </vt:variant>
      <vt:variant>
        <vt:i4>0</vt:i4>
      </vt:variant>
      <vt:variant>
        <vt:i4>5</vt:i4>
      </vt:variant>
      <vt:variant>
        <vt:lpwstr>http://www.batory.org.pl/</vt:lpwstr>
      </vt:variant>
      <vt:variant>
        <vt:lpwstr/>
      </vt:variant>
      <vt:variant>
        <vt:i4>4784171</vt:i4>
      </vt:variant>
      <vt:variant>
        <vt:i4>3</vt:i4>
      </vt:variant>
      <vt:variant>
        <vt:i4>0</vt:i4>
      </vt:variant>
      <vt:variant>
        <vt:i4>5</vt:i4>
      </vt:variant>
      <vt:variant>
        <vt:lpwstr>mailto:batory@batory.org.pl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Walc</dc:creator>
  <cp:lastModifiedBy>Magdalena Brzozowska</cp:lastModifiedBy>
  <cp:revision>2</cp:revision>
  <cp:lastPrinted>2017-10-02T06:21:00Z</cp:lastPrinted>
  <dcterms:created xsi:type="dcterms:W3CDTF">2017-10-02T07:38:00Z</dcterms:created>
  <dcterms:modified xsi:type="dcterms:W3CDTF">2017-10-02T07:38:00Z</dcterms:modified>
</cp:coreProperties>
</file>