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59" w:rsidRDefault="00DD1059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0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280795" cy="960120"/>
            <wp:effectExtent l="0" t="0" r="0" b="0"/>
            <wp:wrapTight wrapText="bothSides">
              <wp:wrapPolygon edited="0">
                <wp:start x="7389" y="857"/>
                <wp:lineTo x="7068" y="2143"/>
                <wp:lineTo x="6747" y="15429"/>
                <wp:lineTo x="1928" y="18000"/>
                <wp:lineTo x="643" y="18429"/>
                <wp:lineTo x="643" y="20143"/>
                <wp:lineTo x="19597" y="20143"/>
                <wp:lineTo x="19919" y="15429"/>
                <wp:lineTo x="17991" y="12429"/>
                <wp:lineTo x="15421" y="8571"/>
                <wp:lineTo x="15421" y="857"/>
                <wp:lineTo x="7389" y="857"/>
              </wp:wrapPolygon>
            </wp:wrapTight>
            <wp:docPr id="1" name="Obraz 1" descr="C:\Users\Konrad\AppData\Local\Temp\fb-logo-2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AppData\Local\Temp\fb-logo-200x1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059" w:rsidRDefault="00DD1059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059">
        <w:rPr>
          <w:rFonts w:cstheme="minorHAnsi"/>
          <w:noProof/>
          <w:lang w:eastAsia="pl-PL"/>
        </w:rPr>
        <w:drawing>
          <wp:inline distT="0" distB="0" distL="0" distR="0">
            <wp:extent cx="2355815" cy="1105662"/>
            <wp:effectExtent l="0" t="0" r="6985" b="0"/>
            <wp:docPr id="2" name="Obraz 2" descr="C:\Users\Konrad\AppData\Local\Temp\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rad\AppData\Local\Temp\kolor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15" cy="11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0CD">
        <w:rPr>
          <w:rFonts w:cstheme="minorHAnsi"/>
          <w:noProof/>
          <w:lang w:eastAsia="pl-PL"/>
        </w:rPr>
        <w:drawing>
          <wp:inline distT="0" distB="0" distL="0" distR="0">
            <wp:extent cx="2766060" cy="410395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sink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336" cy="41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C4" w:rsidRDefault="00B660C4" w:rsidP="00B660C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Warszawa, 3 listopada 2017 r.</w:t>
      </w:r>
    </w:p>
    <w:p w:rsidR="008536BF" w:rsidRDefault="008536BF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059" w:rsidRPr="002E1E67" w:rsidRDefault="00DD1059" w:rsidP="00DD1059">
      <w:pPr>
        <w:spacing w:line="276" w:lineRule="auto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Szanowny Pan </w:t>
      </w:r>
    </w:p>
    <w:p w:rsidR="00DD1059" w:rsidRPr="002E1E67" w:rsidRDefault="00DD1059" w:rsidP="00DD1059">
      <w:pPr>
        <w:spacing w:line="276" w:lineRule="auto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Mariusz Kamiński</w:t>
      </w:r>
    </w:p>
    <w:p w:rsidR="00DD1059" w:rsidRDefault="00DD1059" w:rsidP="00DD1059">
      <w:pPr>
        <w:spacing w:line="276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Minister Koordynator Służb Specjalnych</w:t>
      </w:r>
    </w:p>
    <w:p w:rsidR="00DD1059" w:rsidRDefault="00DD1059" w:rsidP="002E1E6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A8D" w:rsidRDefault="00DD1059" w:rsidP="002E1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Uwagi Fundacji im. Stefana Batorego, Helsińskiej Fundacji Praw Człowieka oraz Instytutu Spraw Publicznych</w:t>
      </w:r>
      <w:r w:rsidR="002E1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D1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projektu ustawy o jawności życia publicznego</w:t>
      </w:r>
      <w:r w:rsidR="002E1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E1E67" w:rsidRDefault="002E1E67" w:rsidP="002E1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ochrony sygnalistów</w:t>
      </w:r>
    </w:p>
    <w:p w:rsidR="00DD1059" w:rsidRDefault="00DD1059" w:rsidP="00DD105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E67" w:rsidRPr="00DD1059" w:rsidRDefault="002E1E67" w:rsidP="008536B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9F8" w:rsidRPr="00A6398F" w:rsidRDefault="004366D1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 odpowiedzi</w:t>
      </w:r>
      <w:r w:rsidR="00F4519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pismo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9F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konsultacji publicznych z dnia 25 października 2017 </w:t>
      </w:r>
      <w:r w:rsidR="00BB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9639F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(sygn.</w:t>
      </w:r>
      <w:r w:rsidR="001539D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DBN.</w:t>
      </w:r>
      <w:r w:rsidR="009639F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WP.10.185.2017.BS)</w:t>
      </w:r>
      <w:r w:rsidR="00884F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2E8" w:rsidRPr="007F62E8">
        <w:rPr>
          <w:rFonts w:ascii="Times New Roman" w:hAnsi="Times New Roman" w:cs="Times New Roman"/>
          <w:color w:val="000000" w:themeColor="text1"/>
          <w:sz w:val="24"/>
          <w:szCs w:val="24"/>
        </w:rPr>
        <w:t>Fundacj</w:t>
      </w:r>
      <w:r w:rsidR="00BB7A2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F62E8" w:rsidRPr="007F6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im. Stefana Batorego</w:t>
      </w:r>
      <w:r w:rsidR="00BB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Helsińska Fundacja </w:t>
      </w:r>
      <w:r w:rsidR="007F62E8">
        <w:rPr>
          <w:rFonts w:ascii="Times New Roman" w:hAnsi="Times New Roman" w:cs="Times New Roman"/>
          <w:color w:val="000000" w:themeColor="text1"/>
          <w:sz w:val="24"/>
          <w:szCs w:val="24"/>
        </w:rPr>
        <w:t>Praw Człowieka</w:t>
      </w:r>
      <w:r w:rsidR="00C45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BB7A25" w:rsidRPr="00BB7A25">
        <w:rPr>
          <w:rFonts w:ascii="Times New Roman" w:hAnsi="Times New Roman" w:cs="Times New Roman"/>
          <w:color w:val="000000" w:themeColor="text1"/>
          <w:sz w:val="24"/>
          <w:szCs w:val="24"/>
        </w:rPr>
        <w:t>Instytut</w:t>
      </w:r>
      <w:r w:rsidR="00BB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A25" w:rsidRPr="00BB7A25">
        <w:rPr>
          <w:rFonts w:ascii="Times New Roman" w:hAnsi="Times New Roman" w:cs="Times New Roman"/>
          <w:color w:val="000000" w:themeColor="text1"/>
          <w:sz w:val="24"/>
          <w:szCs w:val="24"/>
        </w:rPr>
        <w:t>Spraw Publicznych</w:t>
      </w:r>
      <w:r w:rsidR="00BB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pragną przedstawić </w:t>
      </w:r>
      <w:r w:rsidR="0086110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uwagi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projektu ustawy o jawności życia publicznego z 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r w:rsidR="009639F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października 2017 r.</w:t>
      </w:r>
      <w:r w:rsidR="00AA535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(dalej jako „projekt” lub „projekt ustawy”)</w:t>
      </w:r>
      <w:r w:rsidR="0086110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 opinii obejmuje przepisy</w:t>
      </w:r>
      <w:r w:rsidR="0086110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odnoszące się do ochrony sygnalistów. </w:t>
      </w:r>
    </w:p>
    <w:p w:rsidR="00E428DB" w:rsidRPr="00A6398F" w:rsidRDefault="00A8530A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 wstępie chcielibyśmy podkreślić, że z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godnie </w:t>
      </w:r>
      <w:r w:rsidR="00FD46D9">
        <w:rPr>
          <w:rFonts w:ascii="Times New Roman" w:hAnsi="Times New Roman" w:cs="Times New Roman"/>
          <w:color w:val="000000" w:themeColor="text1"/>
          <w:sz w:val="24"/>
          <w:szCs w:val="24"/>
        </w:rPr>
        <w:t>ze znaczeniem przyjętym w prawie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międzynarodowym, sygnalista to osoba, która zgłasza lub ujawnia </w:t>
      </w:r>
      <w:r w:rsidR="001539D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nieprawidłowości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które zachodzą w miejscu pracy i godzą w interes publiczny</w:t>
      </w:r>
      <w:r w:rsidR="00E428DB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Osoby te przyczyniają się do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identyfikacji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naruszeń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 człowieka, defraudacji środków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publicznych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cz</w:t>
      </w:r>
      <w:r w:rsidR="001539D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y zagrożeń dla środowiska lub z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drowia i bezpieczeństwa ludzi.</w:t>
      </w:r>
      <w:r w:rsidR="00F3045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Wskazuje się, że ic</w:t>
      </w:r>
      <w:r w:rsidR="001539D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działalność wzmacnia jawność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życia publicznego i może stanowić ważny element mechanizmu demokratycznej kontroli </w:t>
      </w:r>
      <w:r w:rsidR="001539D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sprawowanej przez społeczeństwo nad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władz</w:t>
      </w:r>
      <w:r w:rsidR="001539D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ą publiczną</w:t>
      </w:r>
      <w:r w:rsidR="00E428DB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Objęcie </w:t>
      </w:r>
      <w:r w:rsidR="001539D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sygnalistów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odpowiednią </w:t>
      </w:r>
      <w:r w:rsidR="001539D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ochroną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zalecane jest przez organy Rady Europy</w:t>
      </w:r>
      <w:r w:rsidR="00E428DB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Organizacji Narodów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Zjednoczonych</w:t>
      </w:r>
      <w:r w:rsidR="00E428DB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Unii Europejskie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E428DB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="0086110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także od lat było przedmiotem apeli </w:t>
      </w:r>
      <w:r w:rsidR="00492ED0">
        <w:rPr>
          <w:rFonts w:ascii="Times New Roman" w:hAnsi="Times New Roman" w:cs="Times New Roman"/>
          <w:color w:val="000000" w:themeColor="text1"/>
          <w:sz w:val="24"/>
          <w:szCs w:val="24"/>
        </w:rPr>
        <w:t>Rzecznika Praw Obywatelskich</w:t>
      </w:r>
      <w:r w:rsidR="00492ED0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="0049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86110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społeczeństwa obywatelskiego – w tym niżej podpisanych.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Naszym zdaniem proponowany kształt ochro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ny wynikający z projektu ustawy</w:t>
      </w:r>
      <w:r w:rsidR="0086110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jest jednak nie tylko dalece niewystarczają</w:t>
      </w:r>
      <w:r w:rsidR="0086110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cy, ale wręcz wypacza sens tej 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instytucji i niesie za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sobą ryzyko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poważnych</w:t>
      </w:r>
      <w:r w:rsidR="00E428D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nadużyć</w:t>
      </w:r>
      <w:r w:rsidR="00A77BE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strony władzy publicznej. </w:t>
      </w:r>
    </w:p>
    <w:p w:rsidR="00E428DB" w:rsidRPr="00A6398F" w:rsidRDefault="00562F94" w:rsidP="009A4D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Ochrona przyznawana i odbierana arbitralnie przez prokuratora – z naruszeniem zasady poufności </w:t>
      </w:r>
    </w:p>
    <w:p w:rsidR="00EB7DFC" w:rsidRPr="00A6398F" w:rsidRDefault="008D42DD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Przewidziana w projekcie ustawy ochrona osób zgłaszających informacje o podejrzeniu popełnienia </w:t>
      </w:r>
      <w:r w:rsidR="008C37A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wybranych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przestępstw uzależniona jest od 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nadania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statusu </w:t>
      </w:r>
      <w:r w:rsidR="000B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sygnalisty. O 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nadaniu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takiego statusu decyduje</w:t>
      </w:r>
      <w:r w:rsidR="0033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wyłącznie prokurator (art. 65 ust. 1 projektu)</w:t>
      </w:r>
      <w:r w:rsidR="0020663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Posłużenie się przez projektodawcę zwrotem „prokurator może” sugeruje dodatkowo, że nie każda osoba spełniająca ustawową definicję </w:t>
      </w:r>
      <w:r w:rsidR="000B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="0020663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sygnalisty będzie mogła 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liczyć na</w:t>
      </w:r>
      <w:r w:rsidR="0020663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 status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decyzja</w:t>
      </w:r>
      <w:r w:rsidR="00F3045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9A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 tym zakresie</w:t>
      </w:r>
      <w:r w:rsidR="00E35FD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pozostawiona </w:t>
      </w:r>
      <w:r w:rsidR="0036794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156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swobodnemu 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uznaniu </w:t>
      </w:r>
      <w:r w:rsidR="00E35FD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organu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Rozstrzygnięcie </w:t>
      </w:r>
      <w:r w:rsidR="003F76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prokuratora nie </w:t>
      </w:r>
      <w:r w:rsidR="0036794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r w:rsidR="003F76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zwe</w:t>
      </w:r>
      <w:r w:rsidR="0036794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ryfikowane przez inny podmiot, w </w:t>
      </w:r>
      <w:r w:rsidR="00E35FD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</w:t>
      </w:r>
      <w:r w:rsidR="0036794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podlega</w:t>
      </w:r>
      <w:r w:rsidR="00E00735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kontroli sądowej</w:t>
      </w:r>
      <w:r w:rsidR="0036794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5D7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5D71" w:rsidRPr="00A6398F" w:rsidRDefault="00855D71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 niepewna jest sytuacja osób, którym </w:t>
      </w:r>
      <w:r w:rsidR="0015754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nadano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już status </w:t>
      </w:r>
      <w:r w:rsidR="000B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sygnalisty. W każdym bowiem momencie i z dowolnego powodu, na wniosek pracodawcy (lub innego podmiotu związanego </w:t>
      </w:r>
      <w:r w:rsidR="00716AD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stosunkiem umownym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zgłaszającym), prokurator może pozbawić </w:t>
      </w:r>
      <w:r w:rsidR="000B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sygnalisty realnej ochron</w:t>
      </w:r>
      <w:r w:rsidR="00002156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tzn. zezwolić na rozwiązanie umowy o pracę (lub innego stosunku umownego) albo na pogorszenie warunków tej umowy (art. 65 ust. 2 -3 projektu). Projekt nie wskazuje żadn</w:t>
      </w:r>
      <w:r w:rsidR="009A563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ych przesłanek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63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udzielenia bądź odmowy udzielenia takiej zgody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794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ta decyzja prokuratora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nie podlega żadnej kontroli, w szczególności kontroli sądowej.</w:t>
      </w:r>
      <w:r w:rsidR="00F3045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31E3" w:rsidRPr="00A6398F" w:rsidRDefault="00A9420C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Istotne znaczenie w tym kontekście ma art. 65 ust. 7 projektu, który przewiduje, że o nadaniu statusu </w:t>
      </w:r>
      <w:r w:rsidR="000B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sygnalisty informuje się pracodawcę (lub inny podmioty związany </w:t>
      </w:r>
      <w:r w:rsidR="00D917A6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stosunkiem umownym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ze zgłaszającym), którego zgłoszenie dotyczyło. Innymi słowy, pracodawca (lub kontrahent) dowiaduje się od prokurator</w:t>
      </w:r>
      <w:r w:rsidR="00250F9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a, że określony pracownik (kontrahent) podjął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współpracę z wymiarem sprawiedliwości poprzez </w:t>
      </w:r>
      <w:r w:rsidR="00250F9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poinformowani</w:t>
      </w:r>
      <w:r w:rsidR="00335A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organów ścigania o podejrzeniu popełnienia </w:t>
      </w:r>
      <w:r w:rsidR="001365D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niego przestępstwa. </w:t>
      </w:r>
      <w:r w:rsidR="007C0C0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Taka sytuacja ujawnienia </w:t>
      </w:r>
      <w:r w:rsidR="000B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="007C0C0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sygnalisty może w rzeczywistości prowadzić do pogorszenia jego sytuacji w miejscu pracy, </w:t>
      </w:r>
      <w:r w:rsidR="000B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także poza nim, </w:t>
      </w:r>
      <w:r w:rsidR="007C0C0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250F9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razić na ostracyzm </w:t>
      </w:r>
      <w:r w:rsidR="00BF148A">
        <w:rPr>
          <w:rFonts w:ascii="Times New Roman" w:hAnsi="Times New Roman" w:cs="Times New Roman"/>
          <w:color w:val="000000" w:themeColor="text1"/>
          <w:sz w:val="24"/>
          <w:szCs w:val="24"/>
        </w:rPr>
        <w:t>czy</w:t>
      </w:r>
      <w:r w:rsidR="00250F9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szykany. </w:t>
      </w:r>
      <w:r w:rsidR="007C0C0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Dlatego też w świetle międzynarodowych standardów</w:t>
      </w:r>
      <w:r w:rsidR="00BF14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0C0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podstawowym środkiem ochrony sygnalisty </w:t>
      </w:r>
      <w:r w:rsidR="004B4F8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powinna być</w:t>
      </w:r>
      <w:r w:rsidR="007C0C0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zasada poufności, zapewniająca, że tożsamość sygnalisty znana jest tylko podmiotowi przyjmującemu zgłoszenie</w:t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jej ujawnienie może nastąpić wyłącznie za zgodą </w:t>
      </w:r>
      <w:r w:rsidR="00250F9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samego </w:t>
      </w:r>
      <w:r w:rsidR="004B4F8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zgłaszającego</w:t>
      </w:r>
      <w:r w:rsidR="007C0C02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="007C0C0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ta co prawda </w:t>
      </w:r>
      <w:r w:rsidR="00250F9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</w:t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charakteru absolutnego, jednakże okoliczności uprawniające do </w:t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ujawniania tożsamości sygnalisty </w:t>
      </w:r>
      <w:r w:rsidR="004B4F8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powinny</w:t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ograniczone do tego</w:t>
      </w:r>
      <w:r w:rsidR="00250F9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niezbędne (np. dla zapewnienia </w:t>
      </w:r>
      <w:r w:rsidR="004B4F8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sprawiedliwego</w:t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procesu na późniejszym etapie)</w:t>
      </w:r>
      <w:r w:rsidR="002E199E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0F9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Zasada poufności ma jednocześnie</w:t>
      </w:r>
      <w:r w:rsidR="002E199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tyle fundamentalny charakter, że zaleca się nawet, by </w:t>
      </w:r>
      <w:r w:rsidR="002E199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bezprawne ujawnienie danych sygnalisty bez jego zgody było kw</w:t>
      </w:r>
      <w:r w:rsidR="00D917A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alifikowane jako forma działania</w:t>
      </w:r>
      <w:r w:rsidR="002E199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odwetowego, za które sprawca powinien ponieść odpowiedzialność</w:t>
      </w:r>
      <w:r w:rsidR="002E199E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9"/>
      </w:r>
      <w:r w:rsidR="002E199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094442" w:rsidRPr="00A6398F" w:rsidRDefault="002831E3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Tymczasem projekt przewiduje, że tożsamość sygnalisty będzie w </w:t>
      </w:r>
      <w:r w:rsidRPr="00A639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każdym 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przypadku ujawniana. Substytutem ochrony wynikającej z zasady poufności ma być zapewne zakaz rozwiązywania stosunku pracy (lub innej umowy) albo pogarszania warunków umowy</w:t>
      </w:r>
      <w:r w:rsidR="00BB6D4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(art. 67 ust. 1 projektu)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r w:rsidR="00F3045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Zakaz ten nie obejmuje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jednak wszystkich potencjalnych działań odwetowych, które mogą spotkać ujawnionego sygnalistę (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zob. 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pkt 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3 opinii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), a przede wszystkim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jak wskazano wyżej,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ochrona ta jest w pełni 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warunkowana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uznaniem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prokuratora, który może jej w 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dowolnym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momencie pozbawić. 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Ujawnienie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tożsamości </w:t>
      </w:r>
      <w:r w:rsidR="003A7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tzw. 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sygnalisty w miejscu pracy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 powiązaniu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ze skrajnie 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niepewnym 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charakterem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jego ochrony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prowadzi do niebezpiecznej zależności </w:t>
      </w:r>
      <w:r w:rsidR="00FF2E6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osoby zgłaszającej </w:t>
      </w:r>
      <w:r w:rsidR="00E73F9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od organów ścigania, co może skutkować</w:t>
      </w:r>
      <w:r w:rsidR="00E12EE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nadużyciem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E12EE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pozycji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ze strony</w:t>
      </w:r>
      <w:r w:rsidR="00E12EE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4B4F8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prokuratora</w:t>
      </w:r>
      <w:r w:rsidR="00E12EE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r w:rsidR="0009444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Przykładowo stwarza to możliwość żądania od sygnalisty dostarczania kolejnych informacji pod groźbą pozbawienia go ochrony. </w:t>
      </w:r>
    </w:p>
    <w:p w:rsidR="00710990" w:rsidRPr="00A6398F" w:rsidRDefault="00BB6D43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Naszym zdaniem</w:t>
      </w:r>
      <w:r w:rsidR="0071099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regulacja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która stwarza</w:t>
      </w:r>
      <w:r w:rsidR="0071099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tak duży stopień niepewności po stronie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osoby zgłaszającej, </w:t>
      </w:r>
      <w:r w:rsidR="0071099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nie 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będzie w stanie zrealizować celu ochrony sygnalistów,</w:t>
      </w:r>
      <w:r w:rsidR="0071099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tzn. nie stworzy środowiska prawnego zachęcającego do </w:t>
      </w:r>
      <w:r w:rsidR="001F16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wiarygodnego </w:t>
      </w:r>
      <w:r w:rsidR="0071099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informowania o zagrożeniach dla interesu publicznego. Osoba chcąca zgłosić informację nie będzie bowiem mogła rozsądnie przewidzieć, czy w ogóle uzyska s</w:t>
      </w:r>
      <w:r w:rsidR="002A7C3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tatus sygnalisty, a także czy – i jak długo – </w:t>
      </w:r>
      <w:r w:rsidR="0071099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będzie mogła korzystać z realnej ochrony po ujawnieniu jej tożsamoś</w:t>
      </w:r>
      <w:r w:rsidR="00E17B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ci</w:t>
      </w:r>
      <w:r w:rsidR="0071099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Pewne dla takiej osoby będzie jedynie to, że dokonując zgłoszenia</w:t>
      </w:r>
      <w:r w:rsidR="00FB25E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71099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oddaje swój los w ręce prokuratora. 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Sytuacja, w której potencjalny sygnalista nie wie, jakie zgłoszenia </w:t>
      </w:r>
      <w:r w:rsidR="00E17B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realnie </w:t>
      </w:r>
      <w:r w:rsidR="00FB25E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podlegają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ochronie i nie jest związku z tym </w:t>
      </w:r>
      <w:r w:rsidR="00FF2E6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 stanie 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podejmować </w:t>
      </w:r>
      <w:r w:rsidR="00FB25E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świadomych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decyzji co do przekazania informacji</w:t>
      </w:r>
      <w:r w:rsidR="00C1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jest wprost sprzeczna z zaleceniami Komitetu Ministrów Rady Europy</w:t>
      </w:r>
      <w:r w:rsidR="00921DC9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0"/>
      </w:r>
      <w:r w:rsidR="006611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a także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611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niezgodna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 zasadą demokratycznego państwa</w:t>
      </w:r>
      <w:r w:rsidR="00FF2E6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prawnego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w szczególności</w:t>
      </w:r>
      <w:r w:rsidR="00FF2E6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 zasadą</w:t>
      </w:r>
      <w:r w:rsidR="00921DC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ochrony zaufania obywatela do państwa. </w:t>
      </w:r>
      <w:r w:rsidR="00582FE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Jak zauważył Trybunał Konstytucyjny, zasada ta</w:t>
      </w:r>
      <w:r w:rsidR="00F3045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582FE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„opiera się na pewności prawa, a więc takim zespole cech przysługujących prawu, które zapewniają jednostce bezpieczeństwo prawne; umożliwiają jej decydowanie o swoim postępowaniu w oparciu o pełną znajomość przesłanek działania organów państwowych oraz konsekwencji prawnych, jakie jej działania mogą pociągnąć za sobą. Jednostka winna mieć możliwość określenia zarówno konsekwencji poszczególnych zachowań i zdarzeń na gruncie obowiązującego w danym momencie systemu</w:t>
      </w:r>
      <w:r w:rsidR="008D3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”</w:t>
      </w:r>
      <w:r w:rsidR="00582FE5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1"/>
      </w:r>
      <w:r w:rsidR="00582FE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85454F" w:rsidRPr="00A6398F" w:rsidRDefault="00483E4B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Rozwiązania proponowane w projekcie budzą również poważne wątpliwości w kontekście obecnej pozycji ustrojowej</w:t>
      </w:r>
      <w:r w:rsidR="00BF0E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prokuratury</w:t>
      </w:r>
      <w:r w:rsidR="00EF21A8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Fakt połączenia urzędu Prokuratora Generalnego oraz Ministra Sprawiedliwości</w:t>
      </w:r>
      <w:r w:rsidR="00BF0E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EF21A8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 powiązaniu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BF0E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z 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obowiązkiem wykonywania przez p</w:t>
      </w:r>
      <w:r w:rsidR="00EF21A8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rokurator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</w:t>
      </w:r>
      <w:r w:rsidR="00EF21A8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zarządzeń</w:t>
      </w:r>
      <w:r w:rsidR="00BF0E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wytycznych i poleceń </w:t>
      </w:r>
      <w:r w:rsidR="00EF21A8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prokuratora przełożonego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(art. 7</w:t>
      </w:r>
      <w:r w:rsidR="00EF21A8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§ 2 </w:t>
      </w:r>
      <w:r w:rsidR="008935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</w:t>
      </w:r>
      <w:r w:rsidR="00E17B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rawa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 </w:t>
      </w:r>
      <w:r w:rsidR="00C2744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prokuraturze)</w:t>
      </w:r>
      <w:r w:rsidR="00BF0E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prowadzi do sytuacji, w której o przyznaniu bądź odebraniu ochrony sygnaliście może </w:t>
      </w:r>
      <w:r w:rsidR="00E25C8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bezpośrednio rozstrzygać</w:t>
      </w:r>
      <w:r w:rsidR="00BF0E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członek rządu</w:t>
      </w:r>
      <w:r w:rsidR="00CC6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który najczęściej jest także członkiem partii politycznej</w:t>
      </w:r>
      <w:r w:rsidR="00BF0E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r w:rsidR="00EC4CE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Biorąc pod uwagę brak kontroli sądowej, taka konstrukcja otwiera ogromne pole do nadużyć, w szczególności w przypadku</w:t>
      </w:r>
      <w:r w:rsidR="003829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zgłaszania </w:t>
      </w:r>
      <w:r w:rsidR="008935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informacji o </w:t>
      </w:r>
      <w:r w:rsidR="003829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nieprawidłowości</w:t>
      </w:r>
      <w:r w:rsidR="008935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ach</w:t>
      </w:r>
      <w:r w:rsidR="003829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niewygodnych dla rządu </w:t>
      </w:r>
      <w:r w:rsidR="00CC6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czy będącej u władzy partii politycznej, </w:t>
      </w:r>
      <w:r w:rsidR="003829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np. odnoszących się do </w:t>
      </w:r>
      <w:r w:rsidR="00FF3B88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przedstawicieli</w:t>
      </w:r>
      <w:r w:rsidR="003829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państwowej władzy wykonawczej </w:t>
      </w:r>
      <w:r w:rsidR="002C145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lub</w:t>
      </w:r>
      <w:r w:rsidR="003829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spółek Skarbu </w:t>
      </w:r>
      <w:r w:rsidR="001449C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Państwa</w:t>
      </w:r>
      <w:r w:rsidR="003829E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</w:p>
    <w:p w:rsidR="004B0354" w:rsidRPr="00A6398F" w:rsidRDefault="002E6F72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Choć Komitet </w:t>
      </w:r>
      <w:r w:rsidR="002A7C3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Ministrów Rady Europy </w:t>
      </w:r>
      <w:r w:rsidR="00E405B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nie przesądza </w:t>
      </w:r>
      <w:r w:rsidR="008935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o wyborze </w:t>
      </w:r>
      <w:r w:rsidR="00E405B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konkretnego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organu lub organów właściwych do rozpatrywania spraw sygnalistów, to podkreśla przy tym, </w:t>
      </w:r>
      <w:r w:rsidR="008935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że 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ostatecznym gwarantem ochrony powinien być dostęp sygnalisty do sądu</w:t>
      </w:r>
      <w:r w:rsidR="00980DDE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2"/>
      </w:r>
      <w:r w:rsidR="00980DDE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którego opiniowany projekt nie przewiduje</w:t>
      </w:r>
      <w:r w:rsidR="00657B5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Podobnie Specjalny Sprawozdawca ONZ </w:t>
      </w:r>
      <w:r w:rsidR="00CD2CF8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ds. promocji oraz ochrony prawa do wolności wyrażania opinii oraz wolności wypowiedzi</w:t>
      </w:r>
      <w:r w:rsidR="002A7C3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zauważa</w:t>
      </w:r>
      <w:r w:rsidR="00657B5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że</w:t>
      </w:r>
      <w:r w:rsidR="008935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warunkiem wprowadzenia</w:t>
      </w:r>
      <w:r w:rsidR="004B035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rzeczywiście </w:t>
      </w:r>
      <w:r w:rsidR="0085454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funkcjonujących</w:t>
      </w:r>
      <w:r w:rsidR="004B035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mechanizmów przyjmowania zgłoszeń od sygnalistów jest stworzenie gwarancji niezależności tej procedury</w:t>
      </w:r>
      <w:r w:rsidR="004B0354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3"/>
      </w:r>
      <w:r w:rsidR="004B035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Naszym zdaniem obecna pozycja ustrojowa prokuratury takiej niezależności </w:t>
      </w:r>
      <w:r w:rsidR="002A7C3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 żadnym stopniu nie zapewnia. </w:t>
      </w:r>
    </w:p>
    <w:p w:rsidR="0085454F" w:rsidRPr="00A6398F" w:rsidRDefault="00094442" w:rsidP="009A4D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Nieobjęcie ochroną </w:t>
      </w:r>
      <w:r w:rsidR="009300D3"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ujawnienia</w:t>
      </w:r>
      <w:r w:rsidR="0085454F"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informacji opinii publicznej </w:t>
      </w:r>
      <w:r w:rsidR="00E3444F"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 n</w:t>
      </w:r>
      <w:r w:rsidR="0085454F"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iewystarczająca regulacja </w:t>
      </w:r>
      <w:r w:rsidR="00705DB9"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wewnętrznych systemów sygnalizowania</w:t>
      </w:r>
    </w:p>
    <w:p w:rsidR="002B6955" w:rsidRPr="00A6398F" w:rsidRDefault="00705DB9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 związku z faktem, iż k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onkretne spraw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y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sygnalistów mogą się znacznie 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od siebie 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różnić i wymagać odmiennych mechanizmów, 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zauważa się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potrzebę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stworzenia różnych dróg zgłaszania informacji</w:t>
      </w:r>
      <w:r w:rsidR="003B5FF9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4"/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Powszechnie wyróżnia się trzy zasadnicze kanały, które mogą posłużyć do </w:t>
      </w:r>
      <w:r w:rsidR="009300D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identyfikacji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zagrożeń dla interesu publicznego: </w:t>
      </w:r>
      <w:r w:rsidR="000E4E4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1) zgłoszenie w ramach organizacji, w której zatrudniony jest sygnalista i ma miejsce dostrzeżona przez niego nieprawidłowość; </w:t>
      </w:r>
      <w:r w:rsidR="000E4E4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2) zgłoszenie do organów publicznych (w szczególności organów regulacyjnych i nadzorczych, organów ścigania czy organów kontroli państwowej i ochrony prawa) oraz </w:t>
      </w:r>
      <w:r w:rsidR="000E4E4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3) ujawnienie opinii publicznej, np. za pośrednictwem mediów lub parlamentarzystów</w:t>
      </w:r>
      <w:r w:rsidR="003B5FF9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5"/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Zaleca się przy tym wprowadzenie rozwiązań zachęcających do korzystania co do zasady z dwóch pierwszych dróg (</w:t>
      </w:r>
      <w:r w:rsidR="00700C0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tj. zgłoszeń </w:t>
      </w:r>
      <w:r w:rsidR="00223A5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wewnętrznych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 do organów publicznych)</w:t>
      </w:r>
      <w:r w:rsidR="003B5FF9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6"/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Podmioty te są</w:t>
      </w:r>
      <w:r w:rsidR="00700C0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bowiem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„bliżej” problemu i dlatego często mogą sprawniej zbadać zgłaszane nieprawidłowości i skutecznie</w:t>
      </w:r>
      <w:r w:rsidR="0092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j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zapobiec ich dalszemu rozwojowi już na wczesnym etapie</w:t>
      </w:r>
      <w:r w:rsidR="003B5FF9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7"/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Dopuszcza </w:t>
      </w:r>
      <w:r w:rsidR="00700C0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się 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także, że w sytuacji gdy pracodawca wprowadził realnie funkcjonujący wewnętrzny system raportowania, a sygnalista przekazał informacje opinii publicznej, nie korzystając</w:t>
      </w:r>
      <w:r w:rsidR="003A6DE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</w:t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wewnętrznego mechanizmu, okoliczność ta może wpływać na przyznany zakres ochrony</w:t>
      </w:r>
      <w:r w:rsidR="003B5FF9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8"/>
      </w:r>
      <w:r w:rsidR="003B5F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 </w:t>
      </w:r>
      <w:r w:rsidR="00223A5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przypadku</w:t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jednak, gdy p</w:t>
      </w:r>
      <w:r w:rsidR="009300D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rzekazanie informacji w ramach</w:t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systemu wewnętrznego lub do właściwego organy p</w:t>
      </w:r>
      <w:r w:rsidR="00721E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ublicznego byłoby w rzeczywi</w:t>
      </w:r>
      <w:r w:rsidR="00EB23C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sto</w:t>
      </w:r>
      <w:r w:rsidR="00721E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ści</w:t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nieskuteczne, prawo powinno chronić </w:t>
      </w:r>
      <w:r w:rsidR="0074617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również </w:t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sygnalistę </w:t>
      </w:r>
      <w:r w:rsidR="0092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ujawniającego</w:t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informacje opinii </w:t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publicznej, np. za pośrednictwem mediów czy organizacji społeczeństwa obywatelskiego</w:t>
      </w:r>
      <w:r w:rsidR="002B6955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19"/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r w:rsidR="002762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</w:t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demokratycznym państwie zapewnienie możliwoś</w:t>
      </w:r>
      <w:r w:rsidR="00DA5CD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ci</w:t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publicznego ujawnienia </w:t>
      </w:r>
      <w:r w:rsidR="00DA5CD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nieprawidłowości</w:t>
      </w:r>
      <w:r w:rsidR="002762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stanowi szczególnie istotny</w:t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DA5CD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środek </w:t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och</w:t>
      </w:r>
      <w:r w:rsidR="002762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rony interesu publicznego, który</w:t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DA5CD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jednocześnie </w:t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wynika </w:t>
      </w:r>
      <w:r w:rsidR="00DA5CD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bezpośrednio z gwarancji </w:t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swobody wypowiedzi</w:t>
      </w:r>
      <w:r w:rsidR="00094692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0"/>
      </w:r>
      <w:r w:rsidR="00DA5CD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r w:rsidR="002762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Dlatego o</w:t>
      </w:r>
      <w:r w:rsidR="0074617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dpowiednią </w:t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ochroną powinny być objęte zgłoszenia dokonane przy pomocy każdego ze wskazanych trzech kanałów</w:t>
      </w:r>
      <w:r w:rsidR="002B6955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1"/>
      </w:r>
      <w:r w:rsidR="002B695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BA2C58" w:rsidRPr="00A6398F" w:rsidRDefault="00746173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Proponowana regulacja nie odpowiada </w:t>
      </w:r>
      <w:r w:rsidR="009300D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opisanym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standardom międzynarodowym. </w:t>
      </w:r>
      <w:r w:rsidR="00721E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Projekt </w:t>
      </w:r>
      <w:r w:rsidR="00EB23C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 żaden sposób nie obejmuje</w:t>
      </w:r>
      <w:r w:rsidR="00721E7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ochroną przypadków ujawnien</w:t>
      </w:r>
      <w:r w:rsidR="000946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ia informacji opinii publicznej. </w:t>
      </w:r>
      <w:r w:rsidR="00DA5CD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Oznacza to</w:t>
      </w:r>
      <w:r w:rsidR="0005661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że np. osoba, która </w:t>
      </w:r>
      <w:r w:rsidR="00011A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po </w:t>
      </w:r>
      <w:r w:rsidR="0092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spotkaniu się z</w:t>
      </w:r>
      <w:r w:rsidR="00011A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odmow</w:t>
      </w:r>
      <w:r w:rsidR="0092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ą</w:t>
      </w:r>
      <w:r w:rsidR="00011A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wszczęcia śledztwa, będąc</w:t>
      </w:r>
      <w:r w:rsidR="0005661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zasadnie przekonana o wiaryg</w:t>
      </w:r>
      <w:r w:rsidR="00011A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odności posiadanych informacji, </w:t>
      </w:r>
      <w:r w:rsidR="0005661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powiadomiła media o realnym zagro</w:t>
      </w:r>
      <w:r w:rsidR="00011A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żeniu dla interesu publicznego – </w:t>
      </w:r>
      <w:r w:rsidR="0005661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nie będzie mogła skorzystać z ochrony przewidzianej przez projektowaną ustawę. </w:t>
      </w:r>
      <w:r w:rsidR="00A83DB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Tymczasem badania pokazują, że organy ścigania </w:t>
      </w:r>
      <w:r w:rsidR="00011A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nierzadko </w:t>
      </w:r>
      <w:r w:rsidR="00A83DB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nie traktują wystarczająco poważnie zawiadomień sygnalistów, </w:t>
      </w:r>
      <w:r w:rsidR="0092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 szczególności</w:t>
      </w:r>
      <w:r w:rsidR="00A83DB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 uwagi na trudności dowodowe w tego rodzaju sprawach (związane np. z odmową składania rzetelnych zeznań przez współpracowników z obawy przed konsekwencjami w miejscu pracy</w:t>
      </w:r>
      <w:r w:rsidR="00A83DB0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2"/>
      </w:r>
      <w:r w:rsidR="00A83DB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1C024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 często dopiero mediom </w:t>
      </w:r>
      <w:r w:rsidR="00011A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udaje się</w:t>
      </w:r>
      <w:r w:rsidR="001C024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skutecznie wywrzeć nacisk na wyjaśnienie sprawy</w:t>
      </w:r>
      <w:r w:rsidR="001C0243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3"/>
      </w:r>
      <w:r w:rsidR="00011A92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r w:rsidR="00F6790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BC2E4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Jednocześnie to właśnie osoby ujawniające opinii publicznej informacje o </w:t>
      </w:r>
      <w:r w:rsidR="001C024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nieprawidłowościach</w:t>
      </w:r>
      <w:r w:rsidR="00BC2E4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 miejscu pracy są szczególnie narażone </w:t>
      </w:r>
      <w:r w:rsidR="001C024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działania odwetowe</w:t>
      </w:r>
      <w:r w:rsidR="001C0243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4"/>
      </w:r>
      <w:r w:rsidR="001C024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w tym na kosztowne procesy o zniesławienie lub o naruszenie dóbr osobistych. </w:t>
      </w:r>
    </w:p>
    <w:p w:rsidR="004524DA" w:rsidRPr="00A6398F" w:rsidRDefault="009263FF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Projekt </w:t>
      </w:r>
      <w:r w:rsidR="00D2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 ogóle nie odnosi się 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 kwestii wewnętrznych mechanizmów raportowania nieprawidłowości</w:t>
      </w:r>
      <w:r w:rsidR="00D3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D2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rozumianych </w:t>
      </w:r>
      <w:r w:rsidR="0082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jako odpowiadające międzynarodowym standardom </w:t>
      </w:r>
      <w:r w:rsidR="00D3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procedury gwarantujące poufność osobom zgłaszającym i niezależną weryfikację zgłoszeń</w:t>
      </w:r>
      <w:r w:rsidR="00D267C6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5"/>
      </w:r>
      <w:r w:rsidR="00B0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Projektodawca</w:t>
      </w:r>
      <w:r w:rsidR="00EA369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ogranicza się </w:t>
      </w:r>
      <w:r w:rsidR="00B542B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zasadniczo</w:t>
      </w:r>
      <w:r w:rsidR="00EA369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do nałożenia na przedsiębiorców będących co najmniej średnim 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przedsiębiorcą</w:t>
      </w:r>
      <w:r w:rsidR="00EA369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 </w:t>
      </w:r>
      <w:r w:rsidR="00B542B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na osoby kierujące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jednostką sektora finansów publicznych </w:t>
      </w:r>
      <w:r w:rsidR="00EA369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obowiązku </w:t>
      </w:r>
      <w:r w:rsidR="00B542B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wprowadzenia</w:t>
      </w:r>
      <w:r w:rsidR="00EA369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wewnętrznych procedur antykorupcyjnych, obejmujących m.in.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EA369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opracowanie procedur informowania właściwych organów przedsiębiorcy o propozycjach korupcyjnych (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 przypadku </w:t>
      </w:r>
      <w:r w:rsidR="00B542B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przedsiębiorców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EA369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art. 71 ust. 2 pkt. 7 projektu)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bądź</w:t>
      </w:r>
      <w:r w:rsidR="00F213F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opracowanie procedur informowania właściwego kierownika jednostki o propozycjach korupcyjnych, a także sytuacjach rodzących podwyższone ryzyko korupcyjne (</w:t>
      </w:r>
      <w:r w:rsidR="00B542B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 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przypadku </w:t>
      </w:r>
      <w:r w:rsidR="00B542B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 jednostek sektora finansów publicznych – art. 72 ust.</w:t>
      </w:r>
      <w:r w:rsidR="00A7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B542B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2 pkt 6 projektu). 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Jedyne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dodatkowe wymogi odnoszące</w:t>
      </w:r>
      <w:r w:rsidR="00F213F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do tych systemów zawarte są w przepisach karnych projektu, z których wynika, że procedury te nie mogą mieć charakteru pozornego lub nieskutecznego (art. 85 i art. 87 projektu). </w:t>
      </w:r>
    </w:p>
    <w:p w:rsidR="006726EB" w:rsidRPr="00A6398F" w:rsidRDefault="009C7E0E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</w:t>
      </w:r>
      <w:r w:rsidR="004B758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przypadku regulowania przez ustawodawcę wewnętrznych procedur sygnalizowania</w:t>
      </w:r>
      <w:r w:rsidR="006726E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B2020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zwłaszcza</w:t>
      </w:r>
      <w:r w:rsidR="006726E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 odnie</w:t>
      </w:r>
      <w:r w:rsidR="009300D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sieniu do podmiotów prywatnych uzasadnione</w:t>
      </w:r>
      <w:r w:rsidR="004B758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jest </w:t>
      </w:r>
      <w:r w:rsidR="006726E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podejście pozostawiające pewien stopień swobody </w:t>
      </w:r>
      <w:r w:rsidR="00A7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samym </w:t>
      </w:r>
      <w:r w:rsidR="006726E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zainteresowanym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r w:rsidR="006726EB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Jednakowoż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ustawodawca 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powinien określić warunki brzegowe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takich procedur, </w:t>
      </w:r>
      <w:r w:rsidR="00A7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mające na celu 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 szczególności</w:t>
      </w:r>
      <w:r w:rsidR="00A7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zagwarantowanie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A7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bezpieczeństwa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osób zgłaszających nieprawidłowości</w:t>
      </w:r>
      <w:r w:rsidR="004524DA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6"/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r w:rsidR="0052607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Ponadto b</w:t>
      </w:r>
      <w:r w:rsidR="009911A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iorąc </w:t>
      </w:r>
      <w:r w:rsidR="0052607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pod </w:t>
      </w:r>
      <w:r w:rsidR="000E4E4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uwagę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52607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szczególną rolę związków zawodowych w sferze ochrony interesów osób wykonujących pracę zarobkową w sprawach dotyczących pracy</w:t>
      </w:r>
      <w:r w:rsidR="00526074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7"/>
      </w:r>
      <w:r w:rsidR="0052607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w</w:t>
      </w:r>
      <w:r w:rsidR="009911A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skazane </w:t>
      </w:r>
      <w:r w:rsidR="0052607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mogłoby być</w:t>
      </w:r>
      <w:r w:rsidR="00F3045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9911A5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również</w:t>
      </w:r>
      <w:r w:rsidR="00526074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zobowiązanie pracodawców co najmniej do uzgadniania ze związkami zakładowymi wewnętrznych procedur </w:t>
      </w:r>
      <w:r w:rsidR="004524DA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sygnalizowania.</w:t>
      </w:r>
      <w:r w:rsidR="00895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Ich </w:t>
      </w:r>
      <w:r w:rsidR="00A91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znaczenie </w:t>
      </w:r>
      <w:r w:rsidR="00895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we wspieraniu ochrony sygnalistów i pomocy im wewnątrz organizacji podkreśl</w:t>
      </w:r>
      <w:r w:rsidR="00A91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ił ostatnio</w:t>
      </w:r>
      <w:r w:rsidR="006C3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Parlament Europejski</w:t>
      </w:r>
      <w:r w:rsidR="00895DD7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28"/>
      </w:r>
      <w:r w:rsidR="006C3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D60E96" w:rsidRPr="00A6398F" w:rsidRDefault="00BB7133" w:rsidP="009A4D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Niewystarczający zakres </w:t>
      </w:r>
      <w:r w:rsid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środków </w:t>
      </w:r>
      <w:r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ochrony</w:t>
      </w:r>
    </w:p>
    <w:p w:rsidR="00162897" w:rsidRPr="00A6398F" w:rsidRDefault="00162897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Projekt przewiduje zasadniczo dwie formy ochrony osoby, której prokurator </w:t>
      </w:r>
      <w:r w:rsidR="00716AD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nadał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status sygnalisty: </w:t>
      </w:r>
      <w:r w:rsidR="000E4E4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1) 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zwrot kosztów zastępstwa procesowego w zw</w:t>
      </w:r>
      <w:r w:rsidR="00B2020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iązku z poniesieniem przez nią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245E00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negatywnych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D60E9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skutków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D60E9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dokonanego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zgłoszenia (art. 66 projektu) oraz </w:t>
      </w:r>
      <w:r w:rsidR="000E4E4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2) zakaz rozwiązania z </w:t>
      </w:r>
      <w:r w:rsidR="00B2020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nią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umowy o pracę (lub inne</w:t>
      </w:r>
      <w:r w:rsidR="00EE597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go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stosunku umownego) i zmiany warunków tej umowy</w:t>
      </w:r>
      <w:r w:rsidR="00D60E9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na mniej korzystne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bez </w:t>
      </w:r>
      <w:r w:rsidR="00D60E9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uprzedniej </w:t>
      </w:r>
      <w:r w:rsidR="00A31256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zgody prokuratora (art. 67 projektu). </w:t>
      </w:r>
    </w:p>
    <w:p w:rsidR="008A5B09" w:rsidRPr="00A6398F" w:rsidRDefault="00D60E96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Na uznanie zasługuje wprowadzenie instytucji zwrotu kosztów </w:t>
      </w:r>
      <w:r w:rsidR="0049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zastępstwa procesowego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szczególnie, że </w:t>
      </w:r>
      <w:r w:rsidR="00B2020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ogóln</w:t>
      </w:r>
      <w:r w:rsidR="00EE597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e sformułowanie </w:t>
      </w:r>
      <w:r w:rsidR="008A5B09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przesłanki „związku z negatywnymi skutkami dokonanego zgłoszenia” pozwala na </w:t>
      </w:r>
      <w:r w:rsidR="00A159F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dochodzenie zwrotu nie tylko w przypadku postępowań w sprawach pracowniczych (czy dotyczących roszczeń wynikających z innych st</w:t>
      </w:r>
      <w:r w:rsidR="00C5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osunków umownych), ale również </w:t>
      </w:r>
      <w:r w:rsidR="00EE597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 </w:t>
      </w:r>
      <w:r w:rsidR="00A159F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sprawach o ochronę dóbr osobistych lub o zniesławienie. </w:t>
      </w:r>
    </w:p>
    <w:p w:rsidR="00F253AC" w:rsidRPr="00A6398F" w:rsidRDefault="00F701C8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Regulacja ochrony odnoszącej</w:t>
      </w:r>
      <w:r w:rsidR="00652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się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do miejsca pracy ma natomiast charakter ni</w:t>
      </w:r>
      <w:r w:rsidR="007943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ewystarczający. Pomijając przedstawioną wyżej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fundamentalną kwestię uzależnienia ochrony od a</w:t>
      </w:r>
      <w:r w:rsidR="007943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rbitralnej decyzji prokuratura</w:t>
      </w:r>
      <w:r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należy zauważyć, że projektodawca ograniczył się do </w:t>
      </w:r>
      <w:r w:rsidR="00F253A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zabezpieczenie </w:t>
      </w:r>
      <w:r w:rsidR="007943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sygnalisty </w:t>
      </w:r>
      <w:r w:rsidR="00F253A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jedynie przed dwoma spośród szeregu środków odwetowych będących w dyspozycji pracodawcy (kontrahenta). </w:t>
      </w:r>
      <w:r w:rsidR="007943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Nie </w:t>
      </w:r>
      <w:r w:rsidR="00B2020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przewidział natomiast</w:t>
      </w:r>
      <w:r w:rsidR="00F253A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7943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ochrony przed takim</w:t>
      </w:r>
      <w:r w:rsidR="00F253AC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7943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działaniami jak np. wymierzenie</w:t>
      </w:r>
      <w:r w:rsidR="008C3A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kar porządkowych, zawieszenie w wykonywaniu obowiązków służbowych</w:t>
      </w:r>
      <w:r w:rsidR="0079434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8C3A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czy pominięcia przy awansowaniu</w:t>
      </w:r>
      <w:r w:rsidR="00F3045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Biorąc pod uwagę rekomendację</w:t>
      </w:r>
      <w:r w:rsidR="008C3A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Komitetu M</w:t>
      </w:r>
      <w:r w:rsidR="00F3045F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inistrów Rady Europy, zalecającą</w:t>
      </w:r>
      <w:r w:rsidR="00B2020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8C3AE3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8C3AE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sygnaliści byli chronieni przed </w:t>
      </w:r>
      <w:r w:rsidR="0065263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C3AE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wszelkimi środkami odwetowymi, niezależnie od formy jakie przyjmują”</w:t>
      </w:r>
      <w:r w:rsidR="008C3AE3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9"/>
      </w:r>
      <w:r w:rsidR="008C3AE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wskazane byłoby wprowadzenie otwartego katalogu zabronionych represji. 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wzorzec </w:t>
      </w:r>
      <w:r w:rsidR="008C3AE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oże posłużyć instytucja ochrony członków zakładowej organizacji związkowej, przewidziana w art. 3 ustawy o związkach zawodowych. </w:t>
      </w:r>
      <w:r w:rsidR="004719D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Analogiczny przepis w tym kontekście mógłby </w:t>
      </w:r>
      <w:r w:rsidR="009E115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więc </w:t>
      </w:r>
      <w:r w:rsidR="004719D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przewidywać, że 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nikt nie może ponosić ujemnych następstw z powodu</w:t>
      </w:r>
      <w:r w:rsidR="004719D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powodu bycia sygnalistą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 Przydatne mogłoby być również zamieszczenie listy przykładowych zakazanych ujemnych następstw, wzorowanej na otwartym katalogu naruszeń zasady równego traktowania zamieszczonym w art. 18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3b 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 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kodeksu pracy (dalej: 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k.p.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przez wskazanie następujących działań: odmowa nawiązania lub rozwiązanie stosunku pracy, niekorzystne ukształtowanie wynagrodzenia za pracę lub innych warunków zatrudnienia albo pominięcie 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przy awansowaniu lub przyznawaniu innych świadczeń związanych z pracą, pominięcie przy typowaniu do udziału w szkoleniach podnoszących kwalifikacje zawodowe. Za działanie odwetowe należałoby także uznać molestowanie w rozumieniu art. 18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3a</w:t>
      </w:r>
      <w:r w:rsidR="00F25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5 pkt 2 k.p.</w:t>
      </w:r>
      <w:r w:rsidR="00F253AC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0"/>
      </w:r>
    </w:p>
    <w:p w:rsidR="00C0247A" w:rsidRPr="00A6398F" w:rsidRDefault="00C0247A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Wprowad</w:t>
      </w:r>
      <w:r w:rsidR="00492ED0">
        <w:rPr>
          <w:rFonts w:ascii="Times New Roman" w:hAnsi="Times New Roman" w:cs="Times New Roman"/>
          <w:color w:val="000000" w:themeColor="text1"/>
          <w:sz w:val="24"/>
          <w:szCs w:val="24"/>
        </w:rPr>
        <w:t>zenie ogólnego zakazu ponoszenia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ujemnych następstw działalności sygnalizacyjnej pozwoliłoby </w:t>
      </w:r>
      <w:r w:rsidR="00652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chronić przed </w:t>
      </w:r>
      <w:r w:rsidR="008B03F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środkami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odwetowymi niezależnie od upływu czasu od zgłoszenia</w:t>
      </w:r>
      <w:r w:rsidR="00BF4E3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informacji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 Dzięki temu możliwe byłoby np. zapobieżenie sytuacji rozwiązania stosunku pracy z powodu zawiadomienia o nieprawidłowościach dzień po upływie okresu ochronnego.</w:t>
      </w:r>
      <w:r w:rsidR="0062279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Obecnie osoba, którą spotkał taki los, mogłaby powołać się na ogólny zakaz dyskryminacji w zatrudnieniu (art. 18</w:t>
      </w:r>
      <w:r w:rsidR="0062279A" w:rsidRPr="00A639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3a</w:t>
      </w:r>
      <w:r w:rsidR="00D43B8C" w:rsidRPr="00A639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62279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- art. 18</w:t>
      </w:r>
      <w:r w:rsidR="0062279A" w:rsidRPr="00A639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3e 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k.p.</w:t>
      </w:r>
      <w:r w:rsidR="0062279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), jednakże praktyka pokazuje, że sądy pracy nie zawsze są gotowe uznać działalność sygnalizacyjną za zakazaną przesłankę dyskryminacyjną</w:t>
      </w:r>
      <w:r w:rsidR="0062279A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1"/>
      </w:r>
      <w:r w:rsidR="0062279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Stąd też zasadna byłaby </w:t>
      </w:r>
      <w:r w:rsidR="000524F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interwencja</w:t>
      </w:r>
      <w:r w:rsidR="00652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ustawodawcy </w:t>
      </w:r>
      <w:r w:rsidR="0062279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wprost przewidująca taką możliwość. </w:t>
      </w:r>
    </w:p>
    <w:p w:rsidR="006C0FD4" w:rsidRPr="00A6398F" w:rsidRDefault="008C50C0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Wątpliwości w kontekście zakresu ochrony przewidzianego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 projekcie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budzi również obligatoryjne uchylenie przez prokuratora postanowienia o nadaniu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statusu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sygnalisty, jeżeli zgłoszone przez niego informacje nie umożliwiły wszczęcie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postępowania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przygotowawczego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(art. 65 ust. 5 projektu). Można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przypuszczać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w zamyśle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projektodawcy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rozwiązanie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miało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 celu uniknięcie sytuacji ochrony osób zgłaszających informacje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niewiarygodne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tzn. takie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dały wystarczających podstaw do wszczęcia postępowania. Należy jednak zauważyć, że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odmawia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wszczęcia </w:t>
      </w:r>
      <w:r w:rsidR="00A1476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postępowania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tylko</w:t>
      </w:r>
      <w:r w:rsidR="00D43B8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wtedy, gdy czynu nie popełniono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albo brak jest danych dostatecznie uzasadniających podejrzenie jego popełnienia (art. 17 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ust. 1 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kodeksu postępowania karnego, dalej: k.p.k.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), ale</w:t>
      </w:r>
      <w:r w:rsidR="00473DC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przykład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 wtedy, gdy postępowanie karne co do tego samego czynu tej samej osoby już się toczy (art.</w:t>
      </w:r>
      <w:r w:rsidR="007F081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ust. </w:t>
      </w:r>
      <w:r w:rsidR="006C0FD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F081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081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081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0FD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473DC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takich sytuacjach trudno uznać</w:t>
      </w:r>
      <w:r w:rsidR="006C0FD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pozbawieni</w:t>
      </w:r>
      <w:r w:rsidR="00AA19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C0FD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statusu sygnalisty </w:t>
      </w:r>
      <w:r w:rsidR="00473DC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uzasadnione. </w:t>
      </w:r>
    </w:p>
    <w:p w:rsidR="00CB13AC" w:rsidRPr="00A6398F" w:rsidRDefault="0065263F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Warto</w:t>
      </w:r>
      <w:r w:rsidR="000524F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0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dodatkowo</w:t>
      </w:r>
      <w:r w:rsidR="000524F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podkreślić</w:t>
      </w:r>
      <w:r w:rsidR="000524F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projekt pomija </w:t>
      </w:r>
      <w:r w:rsidR="0037764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kwestię odpowiedzialności karnej sygnalisty za naruszenie tajemnicy zawodowej</w:t>
      </w:r>
      <w:r w:rsidR="00BA621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(czyli za ujawnienie wbrew przepisom ustawy lub przyjętemu na siebie zobowiązaniu informacji, z którą ktoś zapoznał się w związku z pełnioną funkcją, wykonywaną pracą, działalnością publiczną, społeczną, gospodarczą lub naukową</w:t>
      </w:r>
      <w:r w:rsidR="0032165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01B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7764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art.</w:t>
      </w:r>
      <w:r w:rsidR="009302C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266</w:t>
      </w:r>
      <w:r w:rsidR="006E309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E309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="0021535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7764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odeksu</w:t>
      </w:r>
      <w:r w:rsidR="0021535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37764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arnego</w:t>
      </w:r>
      <w:r w:rsidR="0021535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dalej: k.k.</w:t>
      </w:r>
      <w:r w:rsidR="0037764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F023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Tymczasem</w:t>
      </w:r>
      <w:r w:rsidR="007720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uznaje się, że złożenie zawiadomienia o podejrzeniu przestępstwa co do zasady nie uchyla odpowiedzialności z </w:t>
      </w:r>
      <w:r w:rsidR="0021535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art. 266 § 1</w:t>
      </w:r>
      <w:r w:rsidR="007720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chyba</w:t>
      </w:r>
      <w:r w:rsidR="006E309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że ustawa wprost</w:t>
      </w:r>
      <w:r w:rsidR="00A7228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6E309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przewiduje</w:t>
      </w:r>
      <w:r w:rsidR="0021535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309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jak np. w art. </w:t>
      </w:r>
      <w:r w:rsidR="00A4712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16 ust. 5 ustawy o nadzorze nad rynkiem finansowym</w:t>
      </w:r>
      <w:r w:rsidR="00CB1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15353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353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2"/>
      </w:r>
      <w:r w:rsidR="00A4712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Przez brak takiego unormowania, obecny projekt </w:t>
      </w:r>
      <w:r w:rsidR="000F023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bezwarunkowo </w:t>
      </w:r>
      <w:r w:rsidR="00A4712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pociągniecie sygnalisty do odpowiedzialności za naruszenie tajemnicy zawodowej w związku z </w:t>
      </w:r>
      <w:r w:rsidR="00CB1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zgłoszeniem</w:t>
      </w:r>
      <w:r w:rsidR="00A4712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informacji</w:t>
      </w:r>
      <w:r w:rsidR="00CB13A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art. 65 projektu.</w:t>
      </w:r>
    </w:p>
    <w:p w:rsidR="002576AD" w:rsidRPr="00A6398F" w:rsidRDefault="00B67E0A" w:rsidP="009A4D0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Podobnie projekt nie przewiduje żadnych wyjątków od odpowiedzialności za naruszenie tajemnicy </w:t>
      </w:r>
      <w:r w:rsidR="000F023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służbowej</w:t>
      </w:r>
      <w:r w:rsidR="00BA621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(art. 266 </w:t>
      </w:r>
      <w:r w:rsidR="00F7058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BA621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k</w:t>
      </w:r>
      <w:r w:rsidR="0021535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621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1535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621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576A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F023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godnie </w:t>
      </w:r>
      <w:r w:rsidR="00265CD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standardami międzynarodowymi </w:t>
      </w:r>
      <w:r w:rsidR="000F023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D41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ażny </w:t>
      </w:r>
      <w:r w:rsidR="000D41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interes państwa może uzasadniać szczególną regulację ujawniania niektórych informacji</w:t>
      </w:r>
      <w:r w:rsidR="00265CD1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</w:t>
      </w:r>
      <w:r w:rsidR="000D41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odstępstwa te nie mogą jednak przekraczać granic koniecz</w:t>
      </w:r>
      <w:r w:rsidR="00265CD1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nych dla ochrony tego interesu</w:t>
      </w:r>
      <w:r w:rsidR="00FC36FE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33"/>
      </w:r>
      <w:r w:rsidR="00265CD1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W</w:t>
      </w:r>
      <w:r w:rsidR="000D41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szczególności niedopuszczalne byłoby </w:t>
      </w:r>
      <w:r w:rsidR="0045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nie tylko </w:t>
      </w:r>
      <w:r w:rsidR="000D41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ogólne</w:t>
      </w:r>
      <w:r w:rsidR="002576AD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 bezwarunkowo</w:t>
      </w:r>
      <w:r w:rsidR="000D41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wyłączenie spod ochrony pewnych kategorii podmiotów (np. żołnierzy czy funkcjonariuszy służb)</w:t>
      </w:r>
      <w:r w:rsidR="0045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ale też</w:t>
      </w:r>
      <w:r w:rsidR="000D41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określonych informacji (np. wobec których nadano klauzulę „tajne” lub „ściśle tajne”)</w:t>
      </w:r>
      <w:r w:rsidR="000D4167" w:rsidRPr="00A6398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ootnoteReference w:id="34"/>
      </w:r>
      <w:r w:rsidR="000D4167" w:rsidRPr="00A63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A42BD9" w:rsidRPr="00A6398F" w:rsidRDefault="00A42BD9" w:rsidP="009A4D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Ograniczony zakres spraw, których może dotyczyć sygnalizowanie </w:t>
      </w:r>
    </w:p>
    <w:p w:rsidR="00A42BD9" w:rsidRPr="00A6398F" w:rsidRDefault="00A42BD9" w:rsidP="00265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Projekt przewiduje możliwość objęci</w:t>
      </w:r>
      <w:r w:rsidR="00492E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statusem sygnalisty wyłącznie osób </w:t>
      </w:r>
      <w:r w:rsidR="00253DF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zgłaszających</w:t>
      </w:r>
      <w:r w:rsidR="00383BF6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9E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informacje o</w:t>
      </w:r>
      <w:r w:rsidR="00383BF6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podejrzenie popełnienia </w:t>
      </w:r>
      <w:r w:rsidR="00455038">
        <w:rPr>
          <w:rFonts w:ascii="Times New Roman" w:hAnsi="Times New Roman" w:cs="Times New Roman"/>
          <w:color w:val="000000" w:themeColor="text1"/>
          <w:sz w:val="24"/>
          <w:szCs w:val="24"/>
        </w:rPr>
        <w:t>enumeratywnie wskazanych</w:t>
      </w:r>
      <w:r w:rsidR="00A7228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BF6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przestępstw o charakterze korupcyjnym, finansowym czy księgowym (art.</w:t>
      </w:r>
      <w:r w:rsidR="00253DF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 ust. 1 projektu). Tymczasem zgodnie ze standardami międzynarodowymi, z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akres zjawisk, których ujawnienie podlega ochronie</w:t>
      </w:r>
      <w:r w:rsidR="00253DF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powinien dotyczyć szerokiej kategorii działań i zaniechań zagrażających lub szkodzących interesowi publicznemu</w:t>
      </w:r>
      <w:r w:rsidR="000A3C1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5038">
        <w:rPr>
          <w:rFonts w:ascii="Times New Roman" w:hAnsi="Times New Roman" w:cs="Times New Roman"/>
          <w:color w:val="000000" w:themeColor="text1"/>
          <w:sz w:val="24"/>
          <w:szCs w:val="24"/>
        </w:rPr>
        <w:t>Niezasadne</w:t>
      </w:r>
      <w:r w:rsidR="00265CD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ograniczenie ochrony wyłącznie do zdarzeń mających znam</w:t>
      </w:r>
      <w:r w:rsidR="00265CD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iona przestępstwa</w:t>
      </w:r>
      <w:r w:rsidR="00253DF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 tym bardziej tylko do wąskiej do grupy </w:t>
      </w:r>
      <w:r w:rsidR="00CA19E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przestępstw</w:t>
      </w:r>
      <w:r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5"/>
      </w:r>
      <w:r w:rsidR="00CA19E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Komitet Ministrów Rady Europy wskazuje, że zakres powinien obejmować co najmniej również „naruszenia praw człowieka, a także zagrożenie dla zdrowia publicznego, bezpieczeństwa i środowiska”</w:t>
      </w:r>
      <w:r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6"/>
      </w:r>
      <w:r w:rsidR="008616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22A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 </w:t>
      </w:r>
      <w:r w:rsidR="00932E24">
        <w:rPr>
          <w:rFonts w:ascii="Times New Roman" w:hAnsi="Times New Roman" w:cs="Times New Roman"/>
          <w:color w:val="000000" w:themeColor="text1"/>
          <w:sz w:val="24"/>
          <w:szCs w:val="24"/>
        </w:rPr>
        <w:t>tym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minimalnym obszarem, Komitet Ministrów Rady Europy przytacza (niewyczerpującą) listę kategorii najczęściej występujących w istniejących regulacjach, obejmującą korupcję i działalność kryminalną; naruszenia prawa i regulacji administracyjnych; nadużycia władzy lub pełnionej funkcji publicznej; zagrożenia dla zdrowia publicznego, bezpieczeństwa żywności; zagrożenia dla środowiska; znacząca niegospodarność podmiotów publicznych (w tym organizacji charytatywnych); znaczące marnotrawstwo funduszy publicznych; a także zatajanie któregokolwiek z wcześniej wymienionych</w:t>
      </w:r>
      <w:r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7"/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2BD9" w:rsidRPr="00A6398F" w:rsidRDefault="00D2580C" w:rsidP="009A4D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Niewystarczający</w:t>
      </w:r>
      <w:r w:rsidR="00AF06A2" w:rsidRPr="00A6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zakres podmiotowy</w:t>
      </w:r>
    </w:p>
    <w:p w:rsidR="00C90073" w:rsidRPr="00A6398F" w:rsidRDefault="00D2580C" w:rsidP="009A4D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Zgodnie ze standardami międzynarodowymi, za sygnalistów uważa się osoby, które ujawniają informacje uzyskane w związku z wykonywaną przez nich pracą. Ochrona powinna być udzielona niezależnie od prawnego charakteru stosunku zatrudnienia</w:t>
      </w:r>
      <w:r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8"/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 Istotna jest tu nie formalnoprawna podstawa wykonywania pracy, ale ekonomiczna zależność od osób, które decydują o zatrudnieniu</w:t>
      </w:r>
      <w:r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9"/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 Dlatego też pozytywnie należy ocenić fakt, iż projekt nie ogranicza ochrony tyl</w:t>
      </w:r>
      <w:r w:rsidR="00AF604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ko do pracowników w rozumieniu k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odeksu pracy. Projektodawca </w:t>
      </w:r>
      <w:r w:rsidR="00265CD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 zatrzymał 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265CD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zakres 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pół drogi, </w:t>
      </w:r>
      <w:r w:rsidR="00AA1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skutkiem czego projektowane przepisy nie spełniają 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wyżej wskazany</w:t>
      </w:r>
      <w:r w:rsidR="00AA1960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</w:t>
      </w:r>
      <w:r w:rsidR="00AA1960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odnośnie </w:t>
      </w:r>
      <w:r w:rsidR="00AA1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zakresu podmiotowego. </w:t>
      </w:r>
      <w:r w:rsidR="003A3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projektem, </w:t>
      </w:r>
      <w:r w:rsidR="003A3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oprócz pracowników</w:t>
      </w:r>
      <w:r w:rsidR="00CE6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ochroną mogą być bowiem objęte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wyłącznie osoby fizyczne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które</w:t>
      </w:r>
      <w:r w:rsidR="003A3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wykonują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zawód we własnym imieniu i na własny rachunek 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prowadzą </w:t>
      </w:r>
      <w:r w:rsidR="00C9007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działalność gospodarczą</w:t>
      </w:r>
      <w:r w:rsidR="00BB69C2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(art. 65 ust. 3 pkt 2-3 projektu)</w:t>
      </w:r>
      <w:r w:rsidR="00F9572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. Oznacza</w:t>
      </w:r>
      <w:r w:rsidR="007201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F9572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7201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nie </w:t>
      </w:r>
      <w:r w:rsidR="00AA1960">
        <w:rPr>
          <w:rFonts w:ascii="Times New Roman" w:hAnsi="Times New Roman" w:cs="Times New Roman"/>
          <w:color w:val="000000" w:themeColor="text1"/>
          <w:sz w:val="24"/>
          <w:szCs w:val="24"/>
        </w:rPr>
        <w:t>uwzględnia możliwości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1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nadani</w:t>
      </w:r>
      <w:r w:rsidR="00AA196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72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status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9572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sygnalisty osobom wykonującym pracę w cudzym imieniu i na cudzym rachunek wyłącznie na podstawie umowy zlecenia lub umowy o dzieło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9572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w kontekście rozpowszechnienia tzw. zatrudnienie niepracowniczego pozbawia znaczną część społeczeństwa możliwości ochrony. </w:t>
      </w:r>
      <w:r w:rsidR="00814A5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 byłoby raczej </w:t>
      </w:r>
      <w:r w:rsidR="0028797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posłużenie 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28797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 pojęciem „osób wykonujących pracę zarobkową”, proponowanym przez rządowy projekt ustawy o zmianie ustawy o związkach zawodowych oraz niektórych innych ustaw (druk sejmowy 1933). </w:t>
      </w:r>
    </w:p>
    <w:p w:rsidR="002223DC" w:rsidRPr="00A6398F" w:rsidRDefault="004366D1" w:rsidP="008611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3DC" w:rsidRPr="00A63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Konkluzje</w:t>
      </w:r>
    </w:p>
    <w:p w:rsidR="00BB6B90" w:rsidRPr="00A6398F" w:rsidRDefault="00E33C06" w:rsidP="002223D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Komitet </w:t>
      </w:r>
      <w:r w:rsidR="00F3045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Ministrów Rady Europy podkreśla,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krajowe ramy ochrony sygnalistów muszą </w:t>
      </w:r>
      <w:r w:rsidR="00C44F9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opierać się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09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demokratycznych zasadach i dlatego 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6209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regulacja, które zmierza bardziej do kontrolowania informacji</w:t>
      </w:r>
      <w:r w:rsidR="00C44F9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09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 do zapewnienia </w:t>
      </w:r>
      <w:r w:rsidR="00E2476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odpowiedzialności </w:t>
      </w:r>
      <w:r w:rsidR="007201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przed społeczeństwem</w:t>
      </w:r>
      <w:r w:rsidR="00E2476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4F9D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nie może być uznana za spełni</w:t>
      </w:r>
      <w:r w:rsidR="00A9707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ającą standardy Rady Europy”</w:t>
      </w:r>
      <w:r w:rsidR="00E1178A" w:rsidRPr="00A6398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40"/>
      </w:r>
      <w:r w:rsidR="00E2476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Naszym zdaniem 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unormowania odnoszące</w:t>
      </w:r>
      <w:r w:rsidR="00851EB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</w:t>
      </w:r>
      <w:r w:rsidR="00E2476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sygnalistów</w:t>
      </w:r>
      <w:r w:rsidR="00F3045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przewidziane</w:t>
      </w:r>
      <w:r w:rsidR="00851EB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projekcie ustawy</w:t>
      </w:r>
      <w:r w:rsidR="00E2476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odpowiada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E2476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takie</w:t>
      </w:r>
      <w:r w:rsidR="00967A3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E2476F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charakterystyce. </w:t>
      </w:r>
      <w:r w:rsidR="00851EB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Wynika to szczególnie z dominującej pozycji prokuratora w projektowanej procedurze, który w sposób nie poddany </w:t>
      </w:r>
      <w:r w:rsidR="00BB6B9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51EB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żadnej</w:t>
      </w:r>
      <w:r w:rsidR="00BB6B9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zewnętrznej</w:t>
      </w:r>
      <w:r w:rsidR="00851EB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kontroli</w:t>
      </w:r>
      <w:r w:rsidR="00BB6B9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 zarządza 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całym systemem zgłoszeń – </w:t>
      </w:r>
      <w:r w:rsidR="00BB6B9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arbitralnie 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decyduje</w:t>
      </w:r>
      <w:r w:rsidR="00BB6B90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przyznaniu bądź pozbawieniu ochrony zawiadamiającemu.</w:t>
      </w:r>
      <w:r w:rsidR="004106B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Elementem </w:t>
      </w:r>
      <w:r w:rsidR="00CE6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konstrukcyjnym </w:t>
      </w:r>
      <w:r w:rsidR="00F94783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takiego</w:t>
      </w:r>
      <w:r w:rsidR="004106B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</w:t>
      </w:r>
      <w:r w:rsidR="00CE6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wygodnego </w:t>
      </w:r>
      <w:r w:rsidR="00253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zarządzania zgłoszeniami</w:t>
      </w:r>
      <w:r w:rsidR="004106B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również </w:t>
      </w:r>
      <w:r w:rsidR="00967A3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nieobjęcie</w:t>
      </w:r>
      <w:r w:rsidR="004106B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ochroną przypadków ujawnień </w:t>
      </w:r>
      <w:r w:rsidR="00967A3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nieprawidłowości</w:t>
      </w:r>
      <w:r w:rsidR="004106B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opinii publicznej. </w:t>
      </w:r>
    </w:p>
    <w:p w:rsidR="00AA7ACC" w:rsidRPr="00A6398F" w:rsidRDefault="00F94783" w:rsidP="002223D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9717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ależy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</w:t>
      </w:r>
      <w:r w:rsidR="0059717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zauważyć, że </w:t>
      </w:r>
      <w:r w:rsidR="00647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choć celem projektu ustawy jest wprowadzenie ogólnego pojęcia sygnalisty do polskiego porządku prawnego (w przeciwieństwie do regulacji odnoszących się z założenia tylko do pewnych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obszarów</w:t>
      </w:r>
      <w:r w:rsidR="00647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 np. do sektora bankowego), to rozwiązania w nim zawarte mają ch</w:t>
      </w:r>
      <w:r w:rsidR="00986BF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arakter wysoce fragmentaryczny. Projekt przewiduje bowiem</w:t>
      </w:r>
      <w:r w:rsidR="00647E64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możliwość </w:t>
      </w:r>
      <w:r w:rsidR="00986BF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ochrony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osób </w:t>
      </w:r>
      <w:r w:rsidR="00986BFA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zgłaszających informacje o wąsko określonym zakresie spraw, dostarcza niepełny arsenał środków ochrony przed działaniami odwetowymi i w istocie odnosi się tylko do jednego z trzech zasadniczych kanałów sygnalizowania.</w:t>
      </w:r>
      <w:r w:rsidR="004A3B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 to pewne ryzyko, że taka wybrakowana regula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cja może w przyszłości posłużyć jako podstawa wnioskowania</w:t>
      </w:r>
      <w:r w:rsidR="004A3B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BBC" w:rsidRPr="00A6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720108" w:rsidRPr="00A6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contrario</w:t>
      </w:r>
      <w:r w:rsidR="004A3BBC" w:rsidRPr="00A6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4A3B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tzn. prób argumentowania, że osoby niespełniające przesłanek wskazanych w projekcie ustawy nie mogą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powoływać</w:t>
      </w:r>
      <w:r w:rsidR="004A3B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na fakt działalności sygnalizacyjnej w dochodzeniu swoich praw. Naszym </w:t>
      </w:r>
      <w:r w:rsidR="00AA1697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zdaniem tego rodzaju rozumowanie byłoby w sposób oczywi</w:t>
      </w:r>
      <w:r w:rsidR="00056D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 błędne, ponieważ ochrona osób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informujących</w:t>
      </w:r>
      <w:r w:rsidR="00056D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innych zagrożeniach dla interesu publicznego czy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ujawniających</w:t>
      </w:r>
      <w:r w:rsidR="00056D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(przy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spełnieniu</w:t>
      </w:r>
      <w:r w:rsidR="00056D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056D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warunków) opinii publicznej za pośrednictwem mediów wynika wprost z</w:t>
      </w:r>
      <w:r w:rsidR="007201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56D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swobody wypowiedzi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gwarantowanej</w:t>
      </w:r>
      <w:r w:rsidR="00056DBC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Konstytucję i ratyfikowane umowy międzynarodowe. </w:t>
      </w:r>
      <w:r w:rsidR="00675EC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zmienia</w:t>
      </w:r>
      <w:r w:rsidR="00675EC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jednak faktu, iż tego rodzaju niepełny projekt</w:t>
      </w:r>
      <w:r w:rsidR="006579F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5EC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zamiast przyczynić się do zwiększenia ochrony sygnalistów, może stworzyć dla niej nowe </w:t>
      </w:r>
      <w:r w:rsidR="006579F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zagrożenia</w:t>
      </w:r>
      <w:r w:rsidR="00675EC9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75EC9" w:rsidRDefault="00431645" w:rsidP="002223D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Wyrażamy zatem nadzieję, </w:t>
      </w:r>
      <w:r w:rsidR="00720108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że projektowane</w:t>
      </w:r>
      <w:r w:rsidR="0097480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rozwiązania będą poddane w toku dalszych prac </w:t>
      </w:r>
      <w:r w:rsidR="00C9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głębokiej refleksji. Stoimy na stanowisku, że status sygnalisty, aby </w:t>
      </w:r>
      <w:r w:rsidR="00CE672D">
        <w:rPr>
          <w:rFonts w:ascii="Times New Roman" w:hAnsi="Times New Roman" w:cs="Times New Roman"/>
          <w:color w:val="000000" w:themeColor="text1"/>
          <w:sz w:val="24"/>
          <w:szCs w:val="24"/>
        </w:rPr>
        <w:t>przybrał kształt odpowiadający</w:t>
      </w:r>
      <w:r w:rsidR="00974801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międzynarodowym standardom ochrony </w:t>
      </w:r>
      <w:r w:rsidR="00E2374E" w:rsidRPr="00A6398F">
        <w:rPr>
          <w:rFonts w:ascii="Times New Roman" w:hAnsi="Times New Roman" w:cs="Times New Roman"/>
          <w:color w:val="000000" w:themeColor="text1"/>
          <w:sz w:val="24"/>
          <w:szCs w:val="24"/>
        </w:rPr>
        <w:t>sygnalistów</w:t>
      </w:r>
      <w:r w:rsidR="00EF7B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zostać uregulowany w odrębnej ustawi</w:t>
      </w:r>
      <w:r w:rsidR="00E8290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96DF3">
        <w:rPr>
          <w:rFonts w:ascii="Times New Roman" w:hAnsi="Times New Roman" w:cs="Times New Roman"/>
          <w:color w:val="000000" w:themeColor="text1"/>
          <w:sz w:val="24"/>
          <w:szCs w:val="24"/>
        </w:rPr>
        <w:t>, koncentrującej się wyłącznie na tej problematyce</w:t>
      </w:r>
      <w:r w:rsidR="00E82902">
        <w:rPr>
          <w:rFonts w:ascii="Times New Roman" w:hAnsi="Times New Roman" w:cs="Times New Roman"/>
          <w:color w:val="000000" w:themeColor="text1"/>
          <w:sz w:val="24"/>
          <w:szCs w:val="24"/>
        </w:rPr>
        <w:t>. Dlatego opowiadamy się za kontynuowaniem prac nad osobną regulacją, deklarowan</w:t>
      </w:r>
      <w:r w:rsidR="001E3697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E82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dotąd </w:t>
      </w:r>
      <w:r w:rsidR="00E82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Ministerstwo Sprawiedliwości </w:t>
      </w:r>
      <w:r w:rsidR="001E3697">
        <w:rPr>
          <w:rFonts w:ascii="Times New Roman" w:hAnsi="Times New Roman" w:cs="Times New Roman"/>
          <w:color w:val="000000" w:themeColor="text1"/>
          <w:sz w:val="24"/>
          <w:szCs w:val="24"/>
        </w:rPr>
        <w:t>i wspieranych przez wiele instytucji społecznych i rządowych, o czym świadczy dorobek zrealizowanych w zeszłym roku pre-konsultacji.</w:t>
      </w:r>
      <w:r w:rsidR="00B16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Ochrona sygnalistów wprowadzana do </w:t>
      </w:r>
      <w:r w:rsidR="00913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nowego </w:t>
      </w:r>
      <w:r w:rsidR="00B16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ustawodawstwa antykorupcyjnego powinna </w:t>
      </w:r>
      <w:r w:rsidR="0081763D">
        <w:rPr>
          <w:rFonts w:ascii="Times New Roman" w:hAnsi="Times New Roman" w:cs="Times New Roman"/>
          <w:color w:val="000000" w:themeColor="text1"/>
          <w:sz w:val="24"/>
          <w:szCs w:val="24"/>
        </w:rPr>
        <w:t>uzupełniać kwestie związane z ochroną sygnalistów</w:t>
      </w:r>
      <w:r w:rsidR="00734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</w:t>
      </w:r>
      <w:r w:rsidR="00817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w sposób kompleksowy uregulować z osobnym akcie prawnym. </w:t>
      </w:r>
      <w:r w:rsidR="00B7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Zaproponowany projekt w zakresie w jakim dotyczy ochrony sygnalistów </w:t>
      </w:r>
      <w:r w:rsidR="00913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B77249">
        <w:rPr>
          <w:rFonts w:ascii="Times New Roman" w:hAnsi="Times New Roman" w:cs="Times New Roman"/>
          <w:color w:val="000000" w:themeColor="text1"/>
          <w:sz w:val="24"/>
          <w:szCs w:val="24"/>
        </w:rPr>
        <w:t>może być uznany</w:t>
      </w:r>
      <w:r w:rsidR="00913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 za regulację kompleksową ani odpowiednią</w:t>
      </w:r>
      <w:r w:rsidR="00803C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3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zważywszy na znaczące odejście od </w:t>
      </w:r>
      <w:r w:rsidR="00B7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wskazanych w tekście </w:t>
      </w:r>
      <w:r w:rsidR="00913623">
        <w:rPr>
          <w:rFonts w:ascii="Times New Roman" w:hAnsi="Times New Roman" w:cs="Times New Roman"/>
          <w:color w:val="000000" w:themeColor="text1"/>
          <w:sz w:val="24"/>
          <w:szCs w:val="24"/>
        </w:rPr>
        <w:t>standardów</w:t>
      </w:r>
      <w:r w:rsidR="00B7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regulacji</w:t>
      </w:r>
      <w:r w:rsidR="00913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49" w:rsidRPr="001003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whistleblowing</w:t>
      </w:r>
      <w:r w:rsidR="00B77249">
        <w:rPr>
          <w:rFonts w:ascii="Times New Roman" w:hAnsi="Times New Roman" w:cs="Times New Roman"/>
          <w:color w:val="000000" w:themeColor="text1"/>
          <w:sz w:val="24"/>
          <w:szCs w:val="24"/>
        </w:rPr>
        <w:t>-u.</w:t>
      </w:r>
    </w:p>
    <w:p w:rsidR="004010D4" w:rsidRDefault="004010D4" w:rsidP="002223D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Mamy nadzieję, że przy dalszych pracach nad uregulowaniem statusu sygnalisty pomocne okażą się</w:t>
      </w:r>
      <w:r w:rsidR="00DD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następujące publikacje: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178B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78B">
        <w:rPr>
          <w:rFonts w:ascii="Times New Roman" w:hAnsi="Times New Roman" w:cs="Times New Roman"/>
          <w:color w:val="000000" w:themeColor="text1"/>
          <w:sz w:val="24"/>
          <w:szCs w:val="24"/>
        </w:rPr>
        <w:t>A. 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bylińska, M. Folta, 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Sygnaliści – ludzie, którzy nie potrafią milczeć</w:t>
      </w:r>
      <w:r w:rsidRPr="004D178B">
        <w:rPr>
          <w:rFonts w:ascii="Times New Roman" w:hAnsi="Times New Roman" w:cs="Times New Roman"/>
          <w:color w:val="000000" w:themeColor="text1"/>
          <w:sz w:val="24"/>
          <w:szCs w:val="24"/>
        </w:rPr>
        <w:t>, Instytut S</w:t>
      </w:r>
      <w:r w:rsidR="00A76BCC">
        <w:rPr>
          <w:rFonts w:ascii="Times New Roman" w:hAnsi="Times New Roman" w:cs="Times New Roman"/>
          <w:color w:val="000000" w:themeColor="text1"/>
          <w:sz w:val="24"/>
          <w:szCs w:val="24"/>
        </w:rPr>
        <w:t>praw Publicznych, Warszawa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0D4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>D. Głowac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ka, A. Ploszka, M. Sczaniecki, 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Wiem i powiem – ochrona sygnalistów i dziennikarskich źródeł informacji. Praktyczny przewodnik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>, Helsińska Fundacja Praw Człowieka</w:t>
      </w:r>
      <w:r w:rsidR="00F70D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0D4" w:rsidRPr="004010D4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Makowski, M. Waszak (red.), 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Sygnaliści w Polsce okiem pracodawców i związków zawodowych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Fundacja im. Stefana Batorego, 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>Warszawa 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0D4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Makowski, M. Waszak, 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Ustawa o ochronie sygnalistów w Polsce – o potrzebie i perspektywach jej wprowadzenia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Fundacja im. Stefana Batorego,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Warszawa 2016;</w:t>
      </w:r>
    </w:p>
    <w:p w:rsidR="004010D4" w:rsidRPr="004010D4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Wojciechowska-Nowak, 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Skuteczna ochrona prawna sygnalistów. Perspektywa pracodawców, związków zawodowych oraz przedstawicieli środowisk prawniczych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„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>Przegląd Antykorupcyjny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2(7), Warszawa 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0D4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Wojciechowska-Nowak, 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Ochrona prawna sygnalistów w doświadczeniu sędziów sądów pracy. Raport z badań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Fundacja im. Stefana Batorego, 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>Warszawa 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0D4" w:rsidRPr="004010D4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Wojciechowska-Nowak, 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Ochrona sygnalistów w Polsce. Stan obecny i rekomendacje zmian, </w:t>
      </w:r>
      <w:r w:rsidRPr="004D178B">
        <w:rPr>
          <w:rFonts w:ascii="Times New Roman" w:hAnsi="Times New Roman" w:cs="Times New Roman"/>
          <w:color w:val="000000" w:themeColor="text1"/>
          <w:sz w:val="24"/>
          <w:szCs w:val="24"/>
        </w:rPr>
        <w:t>Instytut Sp</w:t>
      </w:r>
      <w:r w:rsidR="002D31AF">
        <w:rPr>
          <w:rFonts w:ascii="Times New Roman" w:hAnsi="Times New Roman" w:cs="Times New Roman"/>
          <w:color w:val="000000" w:themeColor="text1"/>
          <w:sz w:val="24"/>
          <w:szCs w:val="24"/>
        </w:rPr>
        <w:t>raw Publicznych, Warszawa, 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0D4" w:rsidRPr="004010D4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Wojciechowska-Nowak, 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Założenia do ustawy o ochronie osób sygnalizujących nieprawidłowości w środowisku zawodowym. Jak polski ustawodawca może czerpać z doświadczeń państw obcych?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Fundacja im. Stefana Batorego, 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>Warszawa 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0D4" w:rsidRDefault="004010D4" w:rsidP="00B660C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Bohaterowie czy donosiciele? Co Polacy myślą o osobach ujawniających ni</w:t>
      </w:r>
      <w:r w:rsidR="002E66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eprawidłowości w miejscu pracy?</w:t>
      </w:r>
      <w:r w:rsidRPr="00401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Raport z badań ilościowych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4913">
        <w:rPr>
          <w:rFonts w:ascii="Times New Roman" w:hAnsi="Times New Roman" w:cs="Times New Roman"/>
          <w:color w:val="000000" w:themeColor="text1"/>
          <w:sz w:val="24"/>
          <w:szCs w:val="24"/>
        </w:rPr>
        <w:t>CBOS na zlecenie Fundacji im. Stefana Batorego</w:t>
      </w:r>
      <w:r w:rsidRPr="004010D4">
        <w:rPr>
          <w:rFonts w:ascii="Times New Roman" w:hAnsi="Times New Roman" w:cs="Times New Roman"/>
          <w:color w:val="000000" w:themeColor="text1"/>
          <w:sz w:val="24"/>
          <w:szCs w:val="24"/>
        </w:rPr>
        <w:t>, Warszawa 2012</w:t>
      </w:r>
      <w:r w:rsidR="007C7F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10D4" w:rsidRDefault="004010D4" w:rsidP="004010D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0D4" w:rsidRDefault="004010D4" w:rsidP="004010D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imieniu </w:t>
      </w:r>
      <w:r w:rsidRPr="007F62E8">
        <w:rPr>
          <w:rFonts w:ascii="Times New Roman" w:hAnsi="Times New Roman" w:cs="Times New Roman"/>
          <w:color w:val="000000" w:themeColor="text1"/>
          <w:sz w:val="24"/>
          <w:szCs w:val="24"/>
        </w:rPr>
        <w:t>Fundacj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F6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im. Stefana Batorego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Helsińskiej Fundacji Praw Człowieka oraz </w:t>
      </w:r>
      <w:r w:rsidRPr="00BB7A25">
        <w:rPr>
          <w:rFonts w:ascii="Times New Roman" w:hAnsi="Times New Roman" w:cs="Times New Roman"/>
          <w:color w:val="000000" w:themeColor="text1"/>
          <w:sz w:val="24"/>
          <w:szCs w:val="24"/>
        </w:rPr>
        <w:t>Instytut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B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 Publicznych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010D4" w:rsidRPr="00A6398F" w:rsidRDefault="004010D4" w:rsidP="004010D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010D4" w:rsidRPr="00A6398F" w:rsidSect="00182A1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D9" w:rsidRDefault="00B93DD9" w:rsidP="00E26D2C">
      <w:pPr>
        <w:spacing w:after="0" w:line="240" w:lineRule="auto"/>
      </w:pPr>
      <w:r>
        <w:separator/>
      </w:r>
    </w:p>
  </w:endnote>
  <w:endnote w:type="continuationSeparator" w:id="0">
    <w:p w:rsidR="00B93DD9" w:rsidRDefault="00B93DD9" w:rsidP="00E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091400"/>
      <w:docPartObj>
        <w:docPartGallery w:val="Page Numbers (Bottom of Page)"/>
        <w:docPartUnique/>
      </w:docPartObj>
    </w:sdtPr>
    <w:sdtContent>
      <w:p w:rsidR="00913623" w:rsidRDefault="00E62667">
        <w:pPr>
          <w:pStyle w:val="Stopka"/>
          <w:jc w:val="center"/>
        </w:pPr>
        <w:r>
          <w:fldChar w:fldCharType="begin"/>
        </w:r>
        <w:r w:rsidR="00803CA1">
          <w:instrText>PAGE   \* MERGEFORMAT</w:instrText>
        </w:r>
        <w:r>
          <w:fldChar w:fldCharType="separate"/>
        </w:r>
        <w:r w:rsidR="004770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13623" w:rsidRDefault="00913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D9" w:rsidRDefault="00B93DD9" w:rsidP="00E26D2C">
      <w:pPr>
        <w:spacing w:after="0" w:line="240" w:lineRule="auto"/>
      </w:pPr>
      <w:r>
        <w:separator/>
      </w:r>
    </w:p>
  </w:footnote>
  <w:footnote w:type="continuationSeparator" w:id="0">
    <w:p w:rsidR="00B93DD9" w:rsidRDefault="00B93DD9" w:rsidP="00E26D2C">
      <w:pPr>
        <w:spacing w:after="0" w:line="240" w:lineRule="auto"/>
      </w:pPr>
      <w:r>
        <w:continuationSeparator/>
      </w:r>
    </w:p>
  </w:footnote>
  <w:footnote w:id="1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Rekomendacja Komitetu Ministrów Rady Europy w sprawie ochrony sygnalistów CM/Rec (2014) z 30 kwietnia 2014, par. a.; Raport Specjalnego Sprawozdawcy ONZ ds. promocji oraz ochrony prawa do wolności wyrażania opinii oraz wolności wypowiedzi dotyczący ochrony dziennikarskich źródeł informacji i praw sygnalistów (sygn. dokumentu A/70/361), pkt. 28. </w:t>
      </w:r>
    </w:p>
  </w:footnote>
  <w:footnote w:id="2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Rekomendacja Komitetu Ministrów Rady Europy…</w:t>
      </w:r>
      <w:r>
        <w:rPr>
          <w:rFonts w:ascii="Times New Roman" w:hAnsi="Times New Roman" w:cs="Times New Roman"/>
        </w:rPr>
        <w:t>, op. cit.</w:t>
      </w:r>
    </w:p>
  </w:footnote>
  <w:footnote w:id="3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Rezolucja Zgromadzenia Parlamentarnego Rady Europy</w:t>
      </w:r>
      <w:r>
        <w:rPr>
          <w:rFonts w:ascii="Times New Roman" w:hAnsi="Times New Roman" w:cs="Times New Roman"/>
        </w:rPr>
        <w:t xml:space="preserve"> w sprawie ochrony sygnalistów </w:t>
      </w:r>
      <w:r w:rsidRPr="00125D58">
        <w:rPr>
          <w:rFonts w:ascii="Times New Roman" w:hAnsi="Times New Roman" w:cs="Times New Roman"/>
        </w:rPr>
        <w:t>nr 1729 z</w:t>
      </w:r>
      <w:r>
        <w:rPr>
          <w:rFonts w:ascii="Times New Roman" w:hAnsi="Times New Roman" w:cs="Times New Roman"/>
        </w:rPr>
        <w:t xml:space="preserve"> 29 kwietnia 2010; rekomendacja </w:t>
      </w:r>
      <w:r w:rsidRPr="00125D58">
        <w:rPr>
          <w:rFonts w:ascii="Times New Roman" w:hAnsi="Times New Roman" w:cs="Times New Roman"/>
        </w:rPr>
        <w:t>Zg</w:t>
      </w:r>
      <w:r>
        <w:rPr>
          <w:rFonts w:ascii="Times New Roman" w:hAnsi="Times New Roman" w:cs="Times New Roman"/>
        </w:rPr>
        <w:t>romadzenia Parlamentarnego Rady Europy nr 1916 (2010) w sprawie. ochrony</w:t>
      </w:r>
      <w:r w:rsidRPr="00125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125D58">
        <w:rPr>
          <w:rFonts w:ascii="Times New Roman" w:hAnsi="Times New Roman" w:cs="Times New Roman"/>
        </w:rPr>
        <w:t>sygnalistów</w:t>
      </w:r>
      <w:r>
        <w:rPr>
          <w:rFonts w:ascii="Times New Roman" w:hAnsi="Times New Roman" w:cs="Times New Roman"/>
        </w:rPr>
        <w:t>”; r</w:t>
      </w:r>
      <w:r w:rsidRPr="00125D58">
        <w:rPr>
          <w:rFonts w:ascii="Times New Roman" w:hAnsi="Times New Roman" w:cs="Times New Roman"/>
        </w:rPr>
        <w:t>ekomendacja Komitetu Ministrów Rady Europy…, op. cit.; por</w:t>
      </w:r>
      <w:r>
        <w:rPr>
          <w:rFonts w:ascii="Times New Roman" w:hAnsi="Times New Roman" w:cs="Times New Roman"/>
        </w:rPr>
        <w:t>.</w:t>
      </w:r>
      <w:r w:rsidRPr="00125D58">
        <w:rPr>
          <w:rFonts w:ascii="Times New Roman" w:hAnsi="Times New Roman" w:cs="Times New Roman"/>
        </w:rPr>
        <w:t xml:space="preserve"> również wyroki Euro</w:t>
      </w:r>
      <w:r>
        <w:rPr>
          <w:rFonts w:ascii="Times New Roman" w:hAnsi="Times New Roman" w:cs="Times New Roman"/>
        </w:rPr>
        <w:t xml:space="preserve">pejskiego Trybunału Praw Człowieka, m.in. : wyrok z 12 lutego </w:t>
      </w:r>
      <w:r w:rsidRPr="00125D58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r.</w:t>
      </w:r>
      <w:r w:rsidRPr="00125D58">
        <w:rPr>
          <w:rFonts w:ascii="Times New Roman" w:hAnsi="Times New Roman" w:cs="Times New Roman"/>
        </w:rPr>
        <w:t xml:space="preserve"> w sprawie </w:t>
      </w:r>
      <w:r w:rsidRPr="00125D58">
        <w:rPr>
          <w:rFonts w:ascii="Times New Roman" w:hAnsi="Times New Roman" w:cs="Times New Roman"/>
          <w:i/>
        </w:rPr>
        <w:t xml:space="preserve">Guja </w:t>
      </w:r>
      <w:r>
        <w:rPr>
          <w:rFonts w:ascii="Times New Roman" w:hAnsi="Times New Roman" w:cs="Times New Roman"/>
          <w:i/>
        </w:rPr>
        <w:t>p.</w:t>
      </w:r>
      <w:r w:rsidRPr="00125D58">
        <w:rPr>
          <w:rFonts w:ascii="Times New Roman" w:hAnsi="Times New Roman" w:cs="Times New Roman"/>
          <w:i/>
        </w:rPr>
        <w:t xml:space="preserve"> Mołdawii</w:t>
      </w:r>
      <w:r w:rsidRPr="00125D58">
        <w:rPr>
          <w:rFonts w:ascii="Times New Roman" w:hAnsi="Times New Roman" w:cs="Times New Roman"/>
        </w:rPr>
        <w:t>, skarga</w:t>
      </w:r>
      <w:r>
        <w:rPr>
          <w:rFonts w:ascii="Times New Roman" w:hAnsi="Times New Roman" w:cs="Times New Roman"/>
        </w:rPr>
        <w:t xml:space="preserve"> nr 14277/04 czy wyrok z 21 lipca </w:t>
      </w:r>
      <w:r w:rsidRPr="00125D58">
        <w:rPr>
          <w:rFonts w:ascii="Times New Roman" w:hAnsi="Times New Roman" w:cs="Times New Roman"/>
        </w:rPr>
        <w:t xml:space="preserve">2011 r. w sprawie </w:t>
      </w:r>
      <w:r w:rsidRPr="00125D58">
        <w:rPr>
          <w:rFonts w:ascii="Times New Roman" w:hAnsi="Times New Roman" w:cs="Times New Roman"/>
          <w:i/>
        </w:rPr>
        <w:t xml:space="preserve">Heinisch </w:t>
      </w:r>
      <w:r>
        <w:rPr>
          <w:rFonts w:ascii="Times New Roman" w:hAnsi="Times New Roman" w:cs="Times New Roman"/>
          <w:i/>
        </w:rPr>
        <w:t>p.</w:t>
      </w:r>
      <w:r w:rsidRPr="00125D58">
        <w:rPr>
          <w:rFonts w:ascii="Times New Roman" w:hAnsi="Times New Roman" w:cs="Times New Roman"/>
          <w:i/>
        </w:rPr>
        <w:t xml:space="preserve"> Niemcom</w:t>
      </w:r>
      <w:r>
        <w:rPr>
          <w:rFonts w:ascii="Times New Roman" w:hAnsi="Times New Roman" w:cs="Times New Roman"/>
        </w:rPr>
        <w:t xml:space="preserve">, </w:t>
      </w:r>
      <w:r w:rsidRPr="00125D58">
        <w:rPr>
          <w:rFonts w:ascii="Times New Roman" w:hAnsi="Times New Roman" w:cs="Times New Roman"/>
        </w:rPr>
        <w:t>skarga nr 28274/08</w:t>
      </w:r>
      <w:r>
        <w:rPr>
          <w:rFonts w:ascii="Times New Roman" w:hAnsi="Times New Roman" w:cs="Times New Roman"/>
        </w:rPr>
        <w:t>.</w:t>
      </w:r>
    </w:p>
  </w:footnote>
  <w:footnote w:id="4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</w:t>
      </w:r>
      <w:r w:rsidRPr="007A06BB">
        <w:rPr>
          <w:rFonts w:ascii="Times New Roman" w:hAnsi="Times New Roman" w:cs="Times New Roman"/>
        </w:rPr>
        <w:t>Raport Specjalnego Sprawozdawcy ONZ</w:t>
      </w:r>
      <w:r>
        <w:rPr>
          <w:rFonts w:ascii="Times New Roman" w:hAnsi="Times New Roman" w:cs="Times New Roman"/>
        </w:rPr>
        <w:t>…, op. cit.</w:t>
      </w:r>
    </w:p>
  </w:footnote>
  <w:footnote w:id="5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</w:t>
      </w:r>
      <w:r w:rsidRPr="00D1033D">
        <w:rPr>
          <w:rFonts w:ascii="Times New Roman" w:hAnsi="Times New Roman" w:cs="Times New Roman"/>
        </w:rPr>
        <w:t>Rezolucja Parlamentu Europejskiego z dnia 24 października 2017 r. w sprawie uzasadnionych środków ochrony sygnalistów działających w interesie publicznym podczas ujawniania poufnych informacji posiadanych przez przedsiębiorstwa i organy publiczne (2016/2224(INI))</w:t>
      </w:r>
      <w:r>
        <w:rPr>
          <w:rFonts w:ascii="Times New Roman" w:hAnsi="Times New Roman" w:cs="Times New Roman"/>
        </w:rPr>
        <w:t>.</w:t>
      </w:r>
    </w:p>
  </w:footnote>
  <w:footnote w:id="6">
    <w:p w:rsidR="00492ED0" w:rsidRPr="00492ED0" w:rsidRDefault="00492ED0">
      <w:pPr>
        <w:pStyle w:val="Tekstprzypisudolnego"/>
        <w:rPr>
          <w:rFonts w:ascii="Times New Roman" w:hAnsi="Times New Roman" w:cs="Times New Roman"/>
        </w:rPr>
      </w:pPr>
      <w:r w:rsidRPr="00492ED0">
        <w:rPr>
          <w:rStyle w:val="Odwoanieprzypisudolnego"/>
          <w:rFonts w:ascii="Times New Roman" w:hAnsi="Times New Roman" w:cs="Times New Roman"/>
        </w:rPr>
        <w:footnoteRef/>
      </w:r>
      <w:r w:rsidRPr="00492ED0">
        <w:rPr>
          <w:rFonts w:ascii="Times New Roman" w:hAnsi="Times New Roman" w:cs="Times New Roman"/>
        </w:rPr>
        <w:t xml:space="preserve"> RPO, </w:t>
      </w:r>
      <w:r>
        <w:rPr>
          <w:rFonts w:ascii="Times New Roman" w:hAnsi="Times New Roman" w:cs="Times New Roman"/>
        </w:rPr>
        <w:t>W</w:t>
      </w:r>
      <w:r w:rsidRPr="00492ED0">
        <w:rPr>
          <w:rFonts w:ascii="Times New Roman" w:hAnsi="Times New Roman" w:cs="Times New Roman"/>
        </w:rPr>
        <w:t>ystąpienie do Ministra Pracy i Polityki Społecznej</w:t>
      </w:r>
      <w:r>
        <w:rPr>
          <w:rFonts w:ascii="Times New Roman" w:hAnsi="Times New Roman" w:cs="Times New Roman"/>
        </w:rPr>
        <w:t xml:space="preserve"> z 30 września 2009 r., sygn.</w:t>
      </w:r>
      <w:r w:rsidRPr="00492ED0">
        <w:rPr>
          <w:rFonts w:ascii="Times New Roman" w:hAnsi="Times New Roman" w:cs="Times New Roman"/>
        </w:rPr>
        <w:t xml:space="preserve">, </w:t>
      </w:r>
      <w:r w:rsidRPr="00492ED0">
        <w:rPr>
          <w:rStyle w:val="Uwydatnienie"/>
          <w:rFonts w:ascii="Times New Roman" w:hAnsi="Times New Roman" w:cs="Times New Roman"/>
        </w:rPr>
        <w:t>PO</w:t>
      </w:r>
      <w:r w:rsidRPr="00492ED0">
        <w:rPr>
          <w:rStyle w:val="st"/>
          <w:rFonts w:ascii="Times New Roman" w:hAnsi="Times New Roman" w:cs="Times New Roman"/>
        </w:rPr>
        <w:t>-606960-III/09/RP/AF. 00-090</w:t>
      </w:r>
      <w:r>
        <w:rPr>
          <w:rStyle w:val="st"/>
          <w:rFonts w:ascii="Times New Roman" w:hAnsi="Times New Roman" w:cs="Times New Roman"/>
        </w:rPr>
        <w:t>.</w:t>
      </w:r>
    </w:p>
  </w:footnote>
  <w:footnote w:id="7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</w:t>
      </w:r>
      <w:r w:rsidRPr="003638BA">
        <w:rPr>
          <w:rFonts w:ascii="Times New Roman" w:hAnsi="Times New Roman" w:cs="Times New Roman"/>
        </w:rPr>
        <w:t>Rekomendacja Komitetu Ministrów Rady Europy…, op. cit</w:t>
      </w:r>
      <w:r>
        <w:rPr>
          <w:rFonts w:ascii="Times New Roman" w:hAnsi="Times New Roman" w:cs="Times New Roman"/>
        </w:rPr>
        <w:t>., pkt 18 oraz</w:t>
      </w:r>
      <w:r w:rsidRPr="00125D58">
        <w:rPr>
          <w:rFonts w:ascii="Times New Roman" w:hAnsi="Times New Roman" w:cs="Times New Roman"/>
        </w:rPr>
        <w:t xml:space="preserve"> pkt 69 memorandum wyjaśniającego</w:t>
      </w:r>
    </w:p>
  </w:footnote>
  <w:footnote w:id="8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Ibidem</w:t>
      </w:r>
      <w:r>
        <w:rPr>
          <w:rFonts w:ascii="Times New Roman" w:hAnsi="Times New Roman" w:cs="Times New Roman"/>
        </w:rPr>
        <w:t>.</w:t>
      </w:r>
    </w:p>
  </w:footnote>
  <w:footnote w:id="9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Raport Specjalnego Sprawozdawcy</w:t>
      </w:r>
      <w:r>
        <w:rPr>
          <w:rFonts w:ascii="Times New Roman" w:hAnsi="Times New Roman" w:cs="Times New Roman"/>
        </w:rPr>
        <w:t xml:space="preserve"> ONZ… op. cit.</w:t>
      </w:r>
      <w:r w:rsidRPr="00125D58">
        <w:rPr>
          <w:rFonts w:ascii="Times New Roman" w:hAnsi="Times New Roman" w:cs="Times New Roman"/>
        </w:rPr>
        <w:t>,</w:t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pkt 39.</w:t>
      </w:r>
    </w:p>
  </w:footnote>
  <w:footnote w:id="10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</w:t>
      </w:r>
      <w:r w:rsidRPr="003638BA">
        <w:rPr>
          <w:rFonts w:ascii="Times New Roman" w:hAnsi="Times New Roman" w:cs="Times New Roman"/>
        </w:rPr>
        <w:t>Rekomendacja Komitetu Ministrów Rady Europy…, op. cit.</w:t>
      </w:r>
      <w:r w:rsidRPr="00125D58">
        <w:rPr>
          <w:rFonts w:ascii="Times New Roman" w:hAnsi="Times New Roman" w:cs="Times New Roman"/>
        </w:rPr>
        <w:t>, pkt 44 memorandum wyjaśniającego</w:t>
      </w:r>
      <w:r>
        <w:rPr>
          <w:rFonts w:ascii="Times New Roman" w:hAnsi="Times New Roman" w:cs="Times New Roman"/>
        </w:rPr>
        <w:t>.</w:t>
      </w:r>
    </w:p>
  </w:footnote>
  <w:footnote w:id="11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>Wyrok Trybunału Konstytucyjnego z dnia 25 czerwca 2002 r., sygn. K 45/01</w:t>
      </w:r>
      <w:r>
        <w:rPr>
          <w:rFonts w:ascii="Times New Roman" w:hAnsi="Times New Roman" w:cs="Times New Roman"/>
        </w:rPr>
        <w:t>.</w:t>
      </w:r>
    </w:p>
  </w:footnote>
  <w:footnote w:id="12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</w:t>
      </w:r>
      <w:r w:rsidRPr="003638BA">
        <w:rPr>
          <w:rFonts w:ascii="Times New Roman" w:hAnsi="Times New Roman" w:cs="Times New Roman"/>
        </w:rPr>
        <w:t xml:space="preserve">Rekomendacja Komitetu Ministrów Rady Europy…, op. cit., </w:t>
      </w:r>
      <w:r w:rsidRPr="00125D58">
        <w:rPr>
          <w:rFonts w:ascii="Times New Roman" w:hAnsi="Times New Roman" w:cs="Times New Roman"/>
        </w:rPr>
        <w:t>pkt 39</w:t>
      </w:r>
      <w:r>
        <w:rPr>
          <w:rFonts w:ascii="Times New Roman" w:hAnsi="Times New Roman" w:cs="Times New Roman"/>
        </w:rPr>
        <w:t xml:space="preserve"> </w:t>
      </w:r>
      <w:r w:rsidRPr="00125D58">
        <w:rPr>
          <w:rFonts w:ascii="Times New Roman" w:hAnsi="Times New Roman" w:cs="Times New Roman"/>
        </w:rPr>
        <w:t>memorandum wyjaśniającego.</w:t>
      </w:r>
    </w:p>
  </w:footnote>
  <w:footnote w:id="13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</w:t>
      </w:r>
      <w:r w:rsidRPr="003638BA">
        <w:rPr>
          <w:rFonts w:ascii="Times New Roman" w:hAnsi="Times New Roman" w:cs="Times New Roman"/>
        </w:rPr>
        <w:t xml:space="preserve">Raport Specjalnego Sprawozdawcy ONZ… op. cit., </w:t>
      </w:r>
      <w:r w:rsidRPr="00125D58">
        <w:rPr>
          <w:rFonts w:ascii="Times New Roman" w:hAnsi="Times New Roman" w:cs="Times New Roman"/>
        </w:rPr>
        <w:t>34</w:t>
      </w:r>
    </w:p>
  </w:footnote>
  <w:footnote w:id="14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Rekomendacja Komitetu Ministrów Rady Europy</w:t>
      </w:r>
      <w:r w:rsidRPr="003638BA">
        <w:rPr>
          <w:rFonts w:ascii="Times New Roman" w:hAnsi="Times New Roman" w:cs="Times New Roman"/>
        </w:rPr>
        <w:t>…, op. cit.</w:t>
      </w:r>
      <w:r w:rsidRPr="00125D58">
        <w:rPr>
          <w:rFonts w:ascii="Times New Roman" w:hAnsi="Times New Roman" w:cs="Times New Roman"/>
        </w:rPr>
        <w:t>,</w:t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pkt 67 memorandum wyjaśniającego.</w:t>
      </w:r>
    </w:p>
  </w:footnote>
  <w:footnote w:id="15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>. Raport Specjalnego Sprawozdawcy</w:t>
      </w:r>
      <w:r>
        <w:rPr>
          <w:rFonts w:ascii="Times New Roman" w:hAnsi="Times New Roman" w:cs="Times New Roman"/>
        </w:rPr>
        <w:t xml:space="preserve"> ONZ…, op. cit.,</w:t>
      </w:r>
      <w:r w:rsidRPr="00125D5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pkt 35</w:t>
      </w:r>
      <w:r w:rsidRPr="00125D58">
        <w:rPr>
          <w:rFonts w:ascii="Times New Roman" w:hAnsi="Times New Roman" w:cs="Times New Roman"/>
        </w:rPr>
        <w:t>; Rekomendacja Komitetu Ministrów Rady Europy</w:t>
      </w:r>
      <w:r>
        <w:rPr>
          <w:rFonts w:ascii="Times New Roman" w:hAnsi="Times New Roman" w:cs="Times New Roman"/>
        </w:rPr>
        <w:t>…, op. cit.</w:t>
      </w:r>
      <w:r w:rsidRPr="00125D58">
        <w:rPr>
          <w:rFonts w:ascii="Times New Roman" w:hAnsi="Times New Roman" w:cs="Times New Roman"/>
        </w:rPr>
        <w:t>,</w:t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pkt 14.</w:t>
      </w:r>
    </w:p>
  </w:footnote>
  <w:footnote w:id="16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Rekomendacja Komitetu Ministrów Rady Europy</w:t>
      </w:r>
      <w:r>
        <w:rPr>
          <w:rFonts w:ascii="Times New Roman" w:hAnsi="Times New Roman" w:cs="Times New Roman"/>
        </w:rPr>
        <w:t>…, op. cit.</w:t>
      </w:r>
      <w:r w:rsidRPr="00125D58">
        <w:rPr>
          <w:rFonts w:ascii="Times New Roman" w:hAnsi="Times New Roman" w:cs="Times New Roman"/>
        </w:rPr>
        <w:t>,</w:t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pkt 17.</w:t>
      </w:r>
    </w:p>
  </w:footnote>
  <w:footnote w:id="17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Ibidem, pkt 67 memorandum wyjaśniającego.</w:t>
      </w:r>
    </w:p>
  </w:footnote>
  <w:footnote w:id="18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Ibidem, pkt 24.</w:t>
      </w:r>
    </w:p>
  </w:footnote>
  <w:footnote w:id="19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>Raport Specjalnego Sprawozdawcy</w:t>
      </w:r>
      <w:r>
        <w:rPr>
          <w:rFonts w:ascii="Times New Roman" w:hAnsi="Times New Roman" w:cs="Times New Roman"/>
        </w:rPr>
        <w:t xml:space="preserve"> ONZ…, op. cit.,</w:t>
      </w:r>
      <w:r w:rsidRPr="00125D5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pkt 35</w:t>
      </w:r>
      <w:r w:rsidRPr="00125D58">
        <w:rPr>
          <w:rFonts w:ascii="Times New Roman" w:hAnsi="Times New Roman" w:cs="Times New Roman"/>
        </w:rPr>
        <w:t xml:space="preserve">. </w:t>
      </w:r>
    </w:p>
  </w:footnote>
  <w:footnote w:id="20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Rekomendacja Komitetu Ministrów Rady Europy</w:t>
      </w:r>
      <w:r>
        <w:rPr>
          <w:rFonts w:ascii="Times New Roman" w:hAnsi="Times New Roman" w:cs="Times New Roman"/>
        </w:rPr>
        <w:t xml:space="preserve"> …, op. cit.</w:t>
      </w:r>
      <w:r w:rsidRPr="00125D58">
        <w:rPr>
          <w:rFonts w:ascii="Times New Roman" w:hAnsi="Times New Roman" w:cs="Times New Roman"/>
        </w:rPr>
        <w:t>, pkt 60</w:t>
      </w:r>
      <w:r>
        <w:rPr>
          <w:rFonts w:ascii="Times New Roman" w:hAnsi="Times New Roman" w:cs="Times New Roman"/>
        </w:rPr>
        <w:t xml:space="preserve"> </w:t>
      </w:r>
      <w:r w:rsidRPr="00125D58">
        <w:rPr>
          <w:rFonts w:ascii="Times New Roman" w:hAnsi="Times New Roman" w:cs="Times New Roman"/>
        </w:rPr>
        <w:t>memorandum wyjaśniającego</w:t>
      </w:r>
      <w:r>
        <w:rPr>
          <w:rFonts w:ascii="Times New Roman" w:hAnsi="Times New Roman" w:cs="Times New Roman"/>
        </w:rPr>
        <w:t>.</w:t>
      </w:r>
    </w:p>
  </w:footnote>
  <w:footnote w:id="21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Ibidem., </w:t>
      </w:r>
      <w:r w:rsidRPr="00125D58">
        <w:rPr>
          <w:rFonts w:ascii="Times New Roman" w:hAnsi="Times New Roman" w:cs="Times New Roman"/>
        </w:rPr>
        <w:t>pkt 67 memorandum wyjaśniającego.</w:t>
      </w:r>
    </w:p>
  </w:footnote>
  <w:footnote w:id="22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A. Koby</w:t>
      </w:r>
      <w:r>
        <w:rPr>
          <w:rFonts w:ascii="Times New Roman" w:hAnsi="Times New Roman" w:cs="Times New Roman"/>
        </w:rPr>
        <w:t xml:space="preserve">lińska, M. Folta (współpraca), </w:t>
      </w:r>
      <w:r w:rsidRPr="00125D58">
        <w:rPr>
          <w:rFonts w:ascii="Times New Roman" w:hAnsi="Times New Roman" w:cs="Times New Roman"/>
        </w:rPr>
        <w:t xml:space="preserve">Sygnaliści – ludzie, którzy nie potrafią milczeć. Doświadczenia osób ujawniających nieprawidłowości w instytucjach i firmach w Polsce, </w:t>
      </w:r>
      <w:r>
        <w:rPr>
          <w:rFonts w:ascii="Times New Roman" w:hAnsi="Times New Roman" w:cs="Times New Roman"/>
        </w:rPr>
        <w:t xml:space="preserve">Warszawa </w:t>
      </w:r>
      <w:r w:rsidRPr="00125D58">
        <w:rPr>
          <w:rFonts w:ascii="Times New Roman" w:hAnsi="Times New Roman" w:cs="Times New Roman"/>
        </w:rPr>
        <w:t>2015, str</w:t>
      </w:r>
      <w:r>
        <w:rPr>
          <w:rFonts w:ascii="Times New Roman" w:hAnsi="Times New Roman" w:cs="Times New Roman"/>
        </w:rPr>
        <w:t>.</w:t>
      </w:r>
      <w:r w:rsidRPr="00125D58">
        <w:rPr>
          <w:rFonts w:ascii="Times New Roman" w:hAnsi="Times New Roman" w:cs="Times New Roman"/>
        </w:rPr>
        <w:t xml:space="preserve"> 29, 38.</w:t>
      </w:r>
    </w:p>
  </w:footnote>
  <w:footnote w:id="23">
    <w:p w:rsidR="00913623" w:rsidRPr="00100311" w:rsidRDefault="00913623" w:rsidP="00FC36FE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00311">
        <w:rPr>
          <w:rFonts w:ascii="Times New Roman" w:hAnsi="Times New Roman" w:cs="Times New Roman"/>
          <w:lang w:val="en-US"/>
        </w:rPr>
        <w:t xml:space="preserve"> Ibidem, str. 39.</w:t>
      </w:r>
    </w:p>
  </w:footnote>
  <w:footnote w:id="24">
    <w:p w:rsidR="00913623" w:rsidRPr="00100311" w:rsidRDefault="00913623" w:rsidP="00FC36FE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00311">
        <w:rPr>
          <w:rFonts w:ascii="Times New Roman" w:hAnsi="Times New Roman" w:cs="Times New Roman"/>
          <w:lang w:val="en-US"/>
        </w:rPr>
        <w:t xml:space="preserve"> Ibidem. </w:t>
      </w:r>
    </w:p>
  </w:footnote>
  <w:footnote w:id="25">
    <w:p w:rsidR="00913623" w:rsidRPr="00B0358C" w:rsidRDefault="00913623">
      <w:pPr>
        <w:pStyle w:val="Tekstprzypisudolnego"/>
        <w:rPr>
          <w:rFonts w:ascii="Times New Roman" w:hAnsi="Times New Roman" w:cs="Times New Roman"/>
          <w:lang w:val="en-GB"/>
        </w:rPr>
      </w:pPr>
      <w:r w:rsidRPr="00B0358C">
        <w:rPr>
          <w:rStyle w:val="Odwoanieprzypisudolnego"/>
          <w:rFonts w:ascii="Times New Roman" w:hAnsi="Times New Roman" w:cs="Times New Roman"/>
        </w:rPr>
        <w:footnoteRef/>
      </w:r>
      <w:r w:rsidRPr="00B0358C">
        <w:rPr>
          <w:rFonts w:ascii="Times New Roman" w:hAnsi="Times New Roman" w:cs="Times New Roman"/>
          <w:lang w:val="en-GB"/>
        </w:rPr>
        <w:t xml:space="preserve"> </w:t>
      </w:r>
      <w:r w:rsidR="000C300F" w:rsidRPr="00B0358C">
        <w:rPr>
          <w:rFonts w:ascii="Times New Roman" w:hAnsi="Times New Roman" w:cs="Times New Roman"/>
          <w:lang w:val="en-GB"/>
        </w:rPr>
        <w:t xml:space="preserve">Transparency International, </w:t>
      </w:r>
      <w:r w:rsidRPr="00B0358C">
        <w:rPr>
          <w:rFonts w:ascii="Times New Roman" w:hAnsi="Times New Roman" w:cs="Times New Roman"/>
          <w:lang w:val="en-GB"/>
        </w:rPr>
        <w:t>International principles for whistleblowers legislation</w:t>
      </w:r>
      <w:r w:rsidRPr="00B0358C">
        <w:rPr>
          <w:rFonts w:ascii="Times New Roman" w:hAnsi="Times New Roman" w:cs="Times New Roman"/>
          <w:i/>
          <w:lang w:val="en-GB"/>
        </w:rPr>
        <w:t xml:space="preserve">, </w:t>
      </w:r>
      <w:r w:rsidRPr="00B0358C">
        <w:rPr>
          <w:rFonts w:ascii="Times New Roman" w:hAnsi="Times New Roman" w:cs="Times New Roman"/>
          <w:lang w:val="en-GB"/>
        </w:rPr>
        <w:t>2013</w:t>
      </w:r>
      <w:r w:rsidR="000C300F" w:rsidRPr="00B0358C">
        <w:rPr>
          <w:rFonts w:ascii="Times New Roman" w:hAnsi="Times New Roman" w:cs="Times New Roman"/>
          <w:lang w:val="en-GB"/>
        </w:rPr>
        <w:t>, str. 7.</w:t>
      </w:r>
      <w:r w:rsidRPr="00B0358C">
        <w:rPr>
          <w:rFonts w:ascii="Times New Roman" w:hAnsi="Times New Roman" w:cs="Times New Roman"/>
          <w:lang w:val="en-GB"/>
        </w:rPr>
        <w:t xml:space="preserve">, </w:t>
      </w:r>
    </w:p>
  </w:footnote>
  <w:footnote w:id="26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Rekomendacja Komitetu Ministrów Rady Europy</w:t>
      </w:r>
      <w:r>
        <w:rPr>
          <w:rFonts w:ascii="Times New Roman" w:hAnsi="Times New Roman" w:cs="Times New Roman"/>
        </w:rPr>
        <w:t xml:space="preserve"> …, op. cit.,</w:t>
      </w:r>
      <w:r w:rsidRPr="00125D58">
        <w:rPr>
          <w:rFonts w:ascii="Times New Roman" w:hAnsi="Times New Roman" w:cs="Times New Roman"/>
        </w:rPr>
        <w:t xml:space="preserve"> pkt 60</w:t>
      </w:r>
      <w:r>
        <w:rPr>
          <w:rFonts w:ascii="Times New Roman" w:hAnsi="Times New Roman" w:cs="Times New Roman"/>
        </w:rPr>
        <w:t xml:space="preserve"> </w:t>
      </w:r>
      <w:r w:rsidRPr="00125D58">
        <w:rPr>
          <w:rFonts w:ascii="Times New Roman" w:hAnsi="Times New Roman" w:cs="Times New Roman"/>
        </w:rPr>
        <w:t>memorandum wyjaśniającego</w:t>
      </w:r>
      <w:r>
        <w:rPr>
          <w:rFonts w:ascii="Times New Roman" w:hAnsi="Times New Roman" w:cs="Times New Roman"/>
        </w:rPr>
        <w:t>.</w:t>
      </w:r>
    </w:p>
  </w:footnote>
  <w:footnote w:id="27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Wyrok Trybunału Konstytucyjnego z 2 czerwca 2015 r., sygn. 1/13. </w:t>
      </w:r>
    </w:p>
  </w:footnote>
  <w:footnote w:id="28">
    <w:p w:rsidR="00913623" w:rsidRDefault="009136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00F">
        <w:rPr>
          <w:rFonts w:ascii="Times New Roman" w:hAnsi="Times New Roman" w:cs="Times New Roman"/>
        </w:rPr>
        <w:t>Rezolucja Parlamentu Europejskiego z dnia 24 października 2017 r. w sprawie uzasadnionych środków ochrony sygnalistów działających w interesie publicznym podczas ujawniania poufnych informacji posiadanych przez przedsiębiorstwa i organy publiczne (2016/2224(INI))</w:t>
      </w:r>
      <w:r w:rsidR="000C300F">
        <w:rPr>
          <w:rFonts w:ascii="Times New Roman" w:hAnsi="Times New Roman" w:cs="Times New Roman"/>
        </w:rPr>
        <w:t>.</w:t>
      </w:r>
    </w:p>
  </w:footnote>
  <w:footnote w:id="29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Rekomendacja Komitetu Ministrów Rady Europy</w:t>
      </w:r>
      <w:r>
        <w:rPr>
          <w:rFonts w:ascii="Times New Roman" w:hAnsi="Times New Roman" w:cs="Times New Roman"/>
        </w:rPr>
        <w:t xml:space="preserve"> …, op. cit.,</w:t>
      </w:r>
      <w:r w:rsidRPr="00125D58">
        <w:rPr>
          <w:rFonts w:ascii="Times New Roman" w:hAnsi="Times New Roman" w:cs="Times New Roman"/>
        </w:rPr>
        <w:t xml:space="preserve"> pkt 21.</w:t>
      </w:r>
    </w:p>
  </w:footnote>
  <w:footnote w:id="30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Jest to</w:t>
      </w:r>
      <w:r w:rsidRPr="00125D58">
        <w:rPr>
          <w:rFonts w:ascii="Times New Roman" w:hAnsi="Times New Roman" w:cs="Times New Roman"/>
        </w:rPr>
        <w:t xml:space="preserve"> niepożądane zachowanie, którego celem lub skutkiem jest naruszenie godności pracownika i stworzenie wobec niego zastraszającej, wrogiej, poniżającej, upokarzającej lub uwłaczającej atmosfery.</w:t>
      </w:r>
    </w:p>
  </w:footnote>
  <w:footnote w:id="31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Wojciechowska-Nowak, </w:t>
      </w:r>
      <w:r w:rsidRPr="0032165A">
        <w:rPr>
          <w:rFonts w:ascii="Times New Roman" w:hAnsi="Times New Roman" w:cs="Times New Roman"/>
        </w:rPr>
        <w:t>Ochrona prawna sygnalistów w doświadczeniu sądó</w:t>
      </w:r>
      <w:r>
        <w:rPr>
          <w:rFonts w:ascii="Times New Roman" w:hAnsi="Times New Roman" w:cs="Times New Roman"/>
        </w:rPr>
        <w:t>w pracy. Raport z badań, Warszawa 2011, str. 90-93.</w:t>
      </w:r>
    </w:p>
  </w:footnote>
  <w:footnote w:id="32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W. Wróbel, A</w:t>
      </w:r>
      <w:r w:rsidRPr="00DB1479">
        <w:rPr>
          <w:rFonts w:ascii="Times New Roman" w:hAnsi="Times New Roman" w:cs="Times New Roman"/>
        </w:rPr>
        <w:t>rt. 266.</w:t>
      </w:r>
      <w:r>
        <w:rPr>
          <w:rFonts w:ascii="Times New Roman" w:hAnsi="Times New Roman" w:cs="Times New Roman"/>
        </w:rPr>
        <w:t>,</w:t>
      </w:r>
      <w:r w:rsidRPr="00DB1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[w:] A. Zoll (red.), </w:t>
      </w:r>
      <w:r w:rsidRPr="00DB1479">
        <w:rPr>
          <w:rFonts w:ascii="Times New Roman" w:hAnsi="Times New Roman" w:cs="Times New Roman"/>
        </w:rPr>
        <w:t xml:space="preserve">Kodeks karny. Część szczególna. Tom II. Komentarz do art. 117-277 k.k., </w:t>
      </w:r>
      <w:r>
        <w:rPr>
          <w:rFonts w:ascii="Times New Roman" w:hAnsi="Times New Roman" w:cs="Times New Roman"/>
        </w:rPr>
        <w:t xml:space="preserve">Warszawa </w:t>
      </w:r>
      <w:r w:rsidRPr="00DB1479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;</w:t>
      </w:r>
      <w:r w:rsidRPr="00125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E. Plebanek, M. Rusinek, U</w:t>
      </w:r>
      <w:r w:rsidRPr="00DB1479">
        <w:rPr>
          <w:rFonts w:ascii="Times New Roman" w:hAnsi="Times New Roman" w:cs="Times New Roman"/>
        </w:rPr>
        <w:t>jawnienie tajemnicy zawodowej</w:t>
      </w:r>
      <w:r>
        <w:rPr>
          <w:rFonts w:ascii="Times New Roman" w:hAnsi="Times New Roman" w:cs="Times New Roman"/>
        </w:rPr>
        <w:t xml:space="preserve"> w</w:t>
      </w:r>
      <w:r w:rsidRPr="00DB1479">
        <w:rPr>
          <w:rFonts w:ascii="Times New Roman" w:hAnsi="Times New Roman" w:cs="Times New Roman"/>
        </w:rPr>
        <w:t xml:space="preserve"> procesie karnym</w:t>
      </w:r>
      <w:r>
        <w:rPr>
          <w:rFonts w:ascii="Times New Roman" w:hAnsi="Times New Roman" w:cs="Times New Roman"/>
        </w:rPr>
        <w:t xml:space="preserve"> a </w:t>
      </w:r>
      <w:r w:rsidRPr="00DB1479">
        <w:rPr>
          <w:rFonts w:ascii="Times New Roman" w:hAnsi="Times New Roman" w:cs="Times New Roman"/>
        </w:rPr>
        <w:t>odpowiedzialność karna</w:t>
      </w:r>
      <w:r>
        <w:rPr>
          <w:rFonts w:ascii="Times New Roman" w:hAnsi="Times New Roman" w:cs="Times New Roman"/>
        </w:rPr>
        <w:t xml:space="preserve">, „Czasopismo prawa karnego i nauk penalnych”, </w:t>
      </w:r>
      <w:r w:rsidRPr="00DB1479">
        <w:rPr>
          <w:rFonts w:ascii="Times New Roman" w:hAnsi="Times New Roman" w:cs="Times New Roman"/>
        </w:rPr>
        <w:t>Rok XI: 2007, z. 1</w:t>
      </w:r>
      <w:r>
        <w:rPr>
          <w:rFonts w:ascii="Times New Roman" w:hAnsi="Times New Roman" w:cs="Times New Roman"/>
        </w:rPr>
        <w:t xml:space="preserve">. </w:t>
      </w:r>
    </w:p>
  </w:footnote>
  <w:footnote w:id="33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  <w:i/>
        </w:rPr>
        <w:t xml:space="preserve"> </w:t>
      </w:r>
      <w:r w:rsidRPr="00DB1479">
        <w:rPr>
          <w:rFonts w:ascii="Times New Roman" w:hAnsi="Times New Roman" w:cs="Times New Roman"/>
        </w:rPr>
        <w:t>Rekomendacja</w:t>
      </w:r>
      <w:r>
        <w:rPr>
          <w:rFonts w:ascii="Times New Roman" w:hAnsi="Times New Roman" w:cs="Times New Roman"/>
        </w:rPr>
        <w:t xml:space="preserve"> Komitetu Ministrów Rady Europy</w:t>
      </w:r>
      <w:r w:rsidRPr="00DB1479">
        <w:rPr>
          <w:rFonts w:ascii="Times New Roman" w:hAnsi="Times New Roman" w:cs="Times New Roman"/>
        </w:rPr>
        <w:t>…, op. cit.,</w:t>
      </w:r>
      <w:r>
        <w:rPr>
          <w:rFonts w:ascii="Times New Roman" w:hAnsi="Times New Roman" w:cs="Times New Roman"/>
        </w:rPr>
        <w:t xml:space="preserve"> pkt. 5</w:t>
      </w:r>
      <w:r w:rsidRPr="00125D58">
        <w:rPr>
          <w:rFonts w:ascii="Times New Roman" w:hAnsi="Times New Roman" w:cs="Times New Roman"/>
        </w:rPr>
        <w:t>; Raport Specjalnego Sprawozdawcy</w:t>
      </w:r>
      <w:r>
        <w:rPr>
          <w:rFonts w:ascii="Times New Roman" w:hAnsi="Times New Roman" w:cs="Times New Roman"/>
        </w:rPr>
        <w:t xml:space="preserve"> ONZ</w:t>
      </w:r>
      <w:r w:rsidRPr="00DB1479">
        <w:rPr>
          <w:rFonts w:ascii="Times New Roman" w:hAnsi="Times New Roman" w:cs="Times New Roman"/>
        </w:rPr>
        <w:t>…, op. cit.,</w:t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pkt 43.</w:t>
      </w:r>
    </w:p>
  </w:footnote>
  <w:footnote w:id="34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AF604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25D58">
        <w:rPr>
          <w:rFonts w:ascii="Times New Roman" w:hAnsi="Times New Roman" w:cs="Times New Roman"/>
        </w:rPr>
        <w:t>Raport Specjalnego Sprawozdawcy</w:t>
      </w:r>
      <w:r>
        <w:rPr>
          <w:rFonts w:ascii="Times New Roman" w:hAnsi="Times New Roman" w:cs="Times New Roman"/>
        </w:rPr>
        <w:t xml:space="preserve"> ONZ</w:t>
      </w:r>
      <w:r w:rsidRPr="00DB1479">
        <w:rPr>
          <w:rFonts w:ascii="Times New Roman" w:hAnsi="Times New Roman" w:cs="Times New Roman"/>
        </w:rPr>
        <w:t>…, op. cit.</w:t>
      </w:r>
      <w:r w:rsidRPr="00125D58">
        <w:rPr>
          <w:rFonts w:ascii="Times New Roman" w:hAnsi="Times New Roman" w:cs="Times New Roman"/>
        </w:rPr>
        <w:t>,</w:t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 xml:space="preserve">pkt 45. Podkreśliło to również Zgromadzenie Parlamentarne Rady Europy w rezolucji nr 2060 z 23 czerwca 2015 r. w sprawie wzmocnienia ochrony sygnalistów. </w:t>
      </w:r>
    </w:p>
  </w:footnote>
  <w:footnote w:id="35">
    <w:p w:rsidR="00913623" w:rsidRPr="00641545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Rekomendacja Komitetu Ministrów Rady Europy, pkt 2; Raport Specjalnego Sprawozdawcy, pkt 32.;</w:t>
      </w:r>
      <w:r>
        <w:rPr>
          <w:rFonts w:ascii="Times New Roman" w:hAnsi="Times New Roman" w:cs="Times New Roman"/>
        </w:rPr>
        <w:t xml:space="preserve"> </w:t>
      </w:r>
      <w:r w:rsidRPr="00641545">
        <w:rPr>
          <w:rFonts w:ascii="Times New Roman" w:hAnsi="Times New Roman" w:cs="Times New Roman"/>
        </w:rPr>
        <w:t>Rezolucja Parlamentu Europejskiego</w:t>
      </w:r>
      <w:r>
        <w:rPr>
          <w:rFonts w:ascii="Times New Roman" w:hAnsi="Times New Roman" w:cs="Times New Roman"/>
        </w:rPr>
        <w:t>…, op. cit., pkt. 14.</w:t>
      </w:r>
    </w:p>
  </w:footnote>
  <w:footnote w:id="36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  <w:i/>
        </w:rPr>
        <w:t xml:space="preserve"> </w:t>
      </w:r>
      <w:r w:rsidRPr="00DB1479">
        <w:rPr>
          <w:rFonts w:ascii="Times New Roman" w:hAnsi="Times New Roman" w:cs="Times New Roman"/>
        </w:rPr>
        <w:t>Rekomendacja Komitetu Ministrów Rady Europy …, op. cit.,</w:t>
      </w:r>
      <w:r>
        <w:rPr>
          <w:rFonts w:ascii="Times New Roman" w:hAnsi="Times New Roman" w:cs="Times New Roman"/>
        </w:rPr>
        <w:t xml:space="preserve"> pkt</w:t>
      </w:r>
      <w:r w:rsidRPr="00125D58">
        <w:rPr>
          <w:rFonts w:ascii="Times New Roman" w:hAnsi="Times New Roman" w:cs="Times New Roman"/>
        </w:rPr>
        <w:t xml:space="preserve"> 2.</w:t>
      </w:r>
    </w:p>
  </w:footnote>
  <w:footnote w:id="37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Ibidem, pkt 43 memorandum wyjaśniającego.</w:t>
      </w:r>
    </w:p>
  </w:footnote>
  <w:footnote w:id="38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</w:rPr>
        <w:t xml:space="preserve"> </w:t>
      </w:r>
      <w:r w:rsidRPr="00DB1479">
        <w:rPr>
          <w:rFonts w:ascii="Times New Roman" w:hAnsi="Times New Roman" w:cs="Times New Roman"/>
        </w:rPr>
        <w:t>Rekomendacja Komitetu Ministrów Rady Europy …, op. cit.,</w:t>
      </w:r>
      <w:r>
        <w:rPr>
          <w:rFonts w:ascii="Times New Roman" w:hAnsi="Times New Roman" w:cs="Times New Roman"/>
        </w:rPr>
        <w:t xml:space="preserve"> pkt</w:t>
      </w:r>
      <w:r w:rsidRPr="00125D58">
        <w:rPr>
          <w:rFonts w:ascii="Times New Roman" w:hAnsi="Times New Roman" w:cs="Times New Roman"/>
        </w:rPr>
        <w:t xml:space="preserve"> 3; Raport Specjalnego Sprawozdawcy ONZ</w:t>
      </w:r>
      <w:r>
        <w:rPr>
          <w:rFonts w:ascii="Times New Roman" w:hAnsi="Times New Roman" w:cs="Times New Roman"/>
        </w:rPr>
        <w:t>…, op. cit.</w:t>
      </w:r>
      <w:r w:rsidRPr="00125D58">
        <w:rPr>
          <w:rFonts w:ascii="Times New Roman" w:hAnsi="Times New Roman" w:cs="Times New Roman"/>
        </w:rPr>
        <w:t>,</w:t>
      </w:r>
      <w:r w:rsidRPr="00125D58">
        <w:rPr>
          <w:rFonts w:ascii="Times New Roman" w:hAnsi="Times New Roman" w:cs="Times New Roman"/>
          <w:i/>
        </w:rPr>
        <w:t xml:space="preserve"> </w:t>
      </w:r>
      <w:r w:rsidRPr="00125D58">
        <w:rPr>
          <w:rFonts w:ascii="Times New Roman" w:hAnsi="Times New Roman" w:cs="Times New Roman"/>
        </w:rPr>
        <w:t>pkt 29.</w:t>
      </w:r>
    </w:p>
  </w:footnote>
  <w:footnote w:id="39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  <w:i/>
        </w:rPr>
        <w:t xml:space="preserve"> </w:t>
      </w:r>
      <w:r w:rsidRPr="00DB1479">
        <w:rPr>
          <w:rFonts w:ascii="Times New Roman" w:hAnsi="Times New Roman" w:cs="Times New Roman"/>
        </w:rPr>
        <w:t>Rekomendacja Komitetu Ministrów Rady Europy …, op. cit.,</w:t>
      </w:r>
      <w:r>
        <w:rPr>
          <w:rFonts w:ascii="Times New Roman" w:hAnsi="Times New Roman" w:cs="Times New Roman"/>
        </w:rPr>
        <w:t xml:space="preserve"> </w:t>
      </w:r>
      <w:r w:rsidRPr="00125D58">
        <w:rPr>
          <w:rFonts w:ascii="Times New Roman" w:hAnsi="Times New Roman" w:cs="Times New Roman"/>
        </w:rPr>
        <w:t>pkt 45 memorandum wyjaśniającego.</w:t>
      </w:r>
    </w:p>
  </w:footnote>
  <w:footnote w:id="40">
    <w:p w:rsidR="00913623" w:rsidRPr="00125D58" w:rsidRDefault="00913623" w:rsidP="00FC36FE">
      <w:pPr>
        <w:pStyle w:val="Tekstprzypisudolnego"/>
        <w:jc w:val="both"/>
        <w:rPr>
          <w:rFonts w:ascii="Times New Roman" w:hAnsi="Times New Roman" w:cs="Times New Roman"/>
        </w:rPr>
      </w:pPr>
      <w:r w:rsidRPr="00125D58">
        <w:rPr>
          <w:rStyle w:val="Odwoanieprzypisudolnego"/>
          <w:rFonts w:ascii="Times New Roman" w:hAnsi="Times New Roman" w:cs="Times New Roman"/>
        </w:rPr>
        <w:footnoteRef/>
      </w:r>
      <w:r w:rsidRPr="00125D58">
        <w:rPr>
          <w:rFonts w:ascii="Times New Roman" w:hAnsi="Times New Roman" w:cs="Times New Roman"/>
          <w:i/>
        </w:rPr>
        <w:t xml:space="preserve"> </w:t>
      </w:r>
      <w:r w:rsidRPr="00DB1479">
        <w:rPr>
          <w:rFonts w:ascii="Times New Roman" w:hAnsi="Times New Roman" w:cs="Times New Roman"/>
        </w:rPr>
        <w:t>Rekomendacja Komitetu Ministrów Rady Europy …, op. cit.,</w:t>
      </w:r>
      <w:r>
        <w:rPr>
          <w:rFonts w:ascii="Times New Roman" w:hAnsi="Times New Roman" w:cs="Times New Roman"/>
        </w:rPr>
        <w:t xml:space="preserve"> pkt</w:t>
      </w:r>
      <w:r w:rsidRPr="00125D58">
        <w:rPr>
          <w:rFonts w:ascii="Times New Roman" w:hAnsi="Times New Roman" w:cs="Times New Roman"/>
        </w:rPr>
        <w:t xml:space="preserve"> </w:t>
      </w:r>
      <w:r w:rsidRPr="00125D58">
        <w:rPr>
          <w:rFonts w:ascii="Times New Roman" w:hAnsi="Times New Roman" w:cs="Times New Roman"/>
          <w:color w:val="272425"/>
        </w:rPr>
        <w:t>68</w:t>
      </w:r>
      <w:r>
        <w:rPr>
          <w:rFonts w:ascii="Times New Roman" w:hAnsi="Times New Roman" w:cs="Times New Roman"/>
          <w:color w:val="272425"/>
        </w:rPr>
        <w:t xml:space="preserve"> </w:t>
      </w:r>
      <w:r w:rsidRPr="00125D58">
        <w:rPr>
          <w:rFonts w:ascii="Times New Roman" w:hAnsi="Times New Roman" w:cs="Times New Roman"/>
        </w:rPr>
        <w:t>memorandum wyjaśniającego</w:t>
      </w:r>
      <w:r w:rsidRPr="00125D58">
        <w:rPr>
          <w:rFonts w:ascii="Times New Roman" w:hAnsi="Times New Roman" w:cs="Times New Roman"/>
          <w:color w:val="272425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248"/>
    <w:multiLevelType w:val="hybridMultilevel"/>
    <w:tmpl w:val="15304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8F3"/>
    <w:multiLevelType w:val="hybridMultilevel"/>
    <w:tmpl w:val="3536A81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1D59"/>
    <w:multiLevelType w:val="hybridMultilevel"/>
    <w:tmpl w:val="43F2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000C"/>
    <w:multiLevelType w:val="hybridMultilevel"/>
    <w:tmpl w:val="8968E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4ED"/>
    <w:rsid w:val="00002156"/>
    <w:rsid w:val="0000442C"/>
    <w:rsid w:val="00011A92"/>
    <w:rsid w:val="00031C13"/>
    <w:rsid w:val="0003202F"/>
    <w:rsid w:val="000524F7"/>
    <w:rsid w:val="00056613"/>
    <w:rsid w:val="00056DBC"/>
    <w:rsid w:val="00061D84"/>
    <w:rsid w:val="00094442"/>
    <w:rsid w:val="00094692"/>
    <w:rsid w:val="000A3C13"/>
    <w:rsid w:val="000B2A32"/>
    <w:rsid w:val="000B6941"/>
    <w:rsid w:val="000C300F"/>
    <w:rsid w:val="000D4167"/>
    <w:rsid w:val="000E2DC6"/>
    <w:rsid w:val="000E3604"/>
    <w:rsid w:val="000E4E4D"/>
    <w:rsid w:val="000F023D"/>
    <w:rsid w:val="00100311"/>
    <w:rsid w:val="00125D58"/>
    <w:rsid w:val="001365D2"/>
    <w:rsid w:val="001449C0"/>
    <w:rsid w:val="00152759"/>
    <w:rsid w:val="001539D9"/>
    <w:rsid w:val="00157544"/>
    <w:rsid w:val="00162897"/>
    <w:rsid w:val="00166284"/>
    <w:rsid w:val="00182A1D"/>
    <w:rsid w:val="001C0243"/>
    <w:rsid w:val="001C5871"/>
    <w:rsid w:val="001E3697"/>
    <w:rsid w:val="001E5371"/>
    <w:rsid w:val="001F1677"/>
    <w:rsid w:val="0020663E"/>
    <w:rsid w:val="00215353"/>
    <w:rsid w:val="002223DC"/>
    <w:rsid w:val="00223A57"/>
    <w:rsid w:val="00245E00"/>
    <w:rsid w:val="00250F9F"/>
    <w:rsid w:val="00253DF2"/>
    <w:rsid w:val="00253E64"/>
    <w:rsid w:val="00254299"/>
    <w:rsid w:val="002576AD"/>
    <w:rsid w:val="002639BD"/>
    <w:rsid w:val="00265CD1"/>
    <w:rsid w:val="00276267"/>
    <w:rsid w:val="002827A8"/>
    <w:rsid w:val="002831E3"/>
    <w:rsid w:val="00286A3A"/>
    <w:rsid w:val="0028797A"/>
    <w:rsid w:val="00287A59"/>
    <w:rsid w:val="002A7C3F"/>
    <w:rsid w:val="002B64DE"/>
    <w:rsid w:val="002B6955"/>
    <w:rsid w:val="002C1452"/>
    <w:rsid w:val="002C50CD"/>
    <w:rsid w:val="002D31AF"/>
    <w:rsid w:val="002D7FBF"/>
    <w:rsid w:val="002E199E"/>
    <w:rsid w:val="002E1E67"/>
    <w:rsid w:val="002E666B"/>
    <w:rsid w:val="002E6F72"/>
    <w:rsid w:val="0032165A"/>
    <w:rsid w:val="003344A4"/>
    <w:rsid w:val="00335A1C"/>
    <w:rsid w:val="0033681E"/>
    <w:rsid w:val="00341F24"/>
    <w:rsid w:val="003638BA"/>
    <w:rsid w:val="00367942"/>
    <w:rsid w:val="00367F46"/>
    <w:rsid w:val="00372512"/>
    <w:rsid w:val="0037764A"/>
    <w:rsid w:val="003829EC"/>
    <w:rsid w:val="00383BF6"/>
    <w:rsid w:val="003A2927"/>
    <w:rsid w:val="003A37F3"/>
    <w:rsid w:val="003A6DE9"/>
    <w:rsid w:val="003A75CB"/>
    <w:rsid w:val="003B22AD"/>
    <w:rsid w:val="003B5FF9"/>
    <w:rsid w:val="003D38B8"/>
    <w:rsid w:val="003F7635"/>
    <w:rsid w:val="004010D4"/>
    <w:rsid w:val="004106BA"/>
    <w:rsid w:val="0041498A"/>
    <w:rsid w:val="00431645"/>
    <w:rsid w:val="00433147"/>
    <w:rsid w:val="00434D6A"/>
    <w:rsid w:val="004366D1"/>
    <w:rsid w:val="004524DA"/>
    <w:rsid w:val="00455038"/>
    <w:rsid w:val="00462097"/>
    <w:rsid w:val="004719DC"/>
    <w:rsid w:val="00473DC4"/>
    <w:rsid w:val="0047707D"/>
    <w:rsid w:val="00483E4B"/>
    <w:rsid w:val="00492ED0"/>
    <w:rsid w:val="004A3BBC"/>
    <w:rsid w:val="004B0354"/>
    <w:rsid w:val="004B4F8E"/>
    <w:rsid w:val="004B758A"/>
    <w:rsid w:val="004D178B"/>
    <w:rsid w:val="004D23BE"/>
    <w:rsid w:val="004D496C"/>
    <w:rsid w:val="00502AAC"/>
    <w:rsid w:val="005156F2"/>
    <w:rsid w:val="0051604B"/>
    <w:rsid w:val="00516583"/>
    <w:rsid w:val="00526074"/>
    <w:rsid w:val="00535ACA"/>
    <w:rsid w:val="00557D5A"/>
    <w:rsid w:val="00562F94"/>
    <w:rsid w:val="00582FCF"/>
    <w:rsid w:val="00582FE5"/>
    <w:rsid w:val="0059717A"/>
    <w:rsid w:val="005B7BBA"/>
    <w:rsid w:val="005D2275"/>
    <w:rsid w:val="005D4070"/>
    <w:rsid w:val="00603446"/>
    <w:rsid w:val="00610C6C"/>
    <w:rsid w:val="006117FD"/>
    <w:rsid w:val="0062279A"/>
    <w:rsid w:val="00634913"/>
    <w:rsid w:val="00640787"/>
    <w:rsid w:val="00641545"/>
    <w:rsid w:val="006479B4"/>
    <w:rsid w:val="00647E64"/>
    <w:rsid w:val="0065263F"/>
    <w:rsid w:val="006579F8"/>
    <w:rsid w:val="00657B5B"/>
    <w:rsid w:val="006602AA"/>
    <w:rsid w:val="00661147"/>
    <w:rsid w:val="006654ED"/>
    <w:rsid w:val="006726EB"/>
    <w:rsid w:val="00675EC9"/>
    <w:rsid w:val="006C0FD4"/>
    <w:rsid w:val="006C3F9E"/>
    <w:rsid w:val="006D4042"/>
    <w:rsid w:val="006E309D"/>
    <w:rsid w:val="00700C09"/>
    <w:rsid w:val="00705DB9"/>
    <w:rsid w:val="00710990"/>
    <w:rsid w:val="00714E52"/>
    <w:rsid w:val="00716AD7"/>
    <w:rsid w:val="00717C05"/>
    <w:rsid w:val="00720108"/>
    <w:rsid w:val="00721E77"/>
    <w:rsid w:val="007342AB"/>
    <w:rsid w:val="00746173"/>
    <w:rsid w:val="00772008"/>
    <w:rsid w:val="00794347"/>
    <w:rsid w:val="007A06BB"/>
    <w:rsid w:val="007C0C02"/>
    <w:rsid w:val="007C7FD9"/>
    <w:rsid w:val="007F081F"/>
    <w:rsid w:val="007F62E8"/>
    <w:rsid w:val="00803CA1"/>
    <w:rsid w:val="00814A5F"/>
    <w:rsid w:val="0081763D"/>
    <w:rsid w:val="008253F1"/>
    <w:rsid w:val="00851EB8"/>
    <w:rsid w:val="008536BF"/>
    <w:rsid w:val="0085454F"/>
    <w:rsid w:val="00855D71"/>
    <w:rsid w:val="00861107"/>
    <w:rsid w:val="00861608"/>
    <w:rsid w:val="00884F3F"/>
    <w:rsid w:val="00885731"/>
    <w:rsid w:val="008935E3"/>
    <w:rsid w:val="00895DD7"/>
    <w:rsid w:val="008A5B09"/>
    <w:rsid w:val="008B03F8"/>
    <w:rsid w:val="008C37A2"/>
    <w:rsid w:val="008C3AE3"/>
    <w:rsid w:val="008C50C0"/>
    <w:rsid w:val="008D35AB"/>
    <w:rsid w:val="008D42DD"/>
    <w:rsid w:val="008F032E"/>
    <w:rsid w:val="00910437"/>
    <w:rsid w:val="00913623"/>
    <w:rsid w:val="00921DC9"/>
    <w:rsid w:val="00922AC2"/>
    <w:rsid w:val="00925817"/>
    <w:rsid w:val="009263FF"/>
    <w:rsid w:val="009300D3"/>
    <w:rsid w:val="009302CD"/>
    <w:rsid w:val="00932E24"/>
    <w:rsid w:val="00935D62"/>
    <w:rsid w:val="009639F8"/>
    <w:rsid w:val="00967A39"/>
    <w:rsid w:val="00974801"/>
    <w:rsid w:val="00980DDE"/>
    <w:rsid w:val="00986002"/>
    <w:rsid w:val="00986BFA"/>
    <w:rsid w:val="009911A5"/>
    <w:rsid w:val="009A03C2"/>
    <w:rsid w:val="009A1BCE"/>
    <w:rsid w:val="009A4D04"/>
    <w:rsid w:val="009A5633"/>
    <w:rsid w:val="009B6AB7"/>
    <w:rsid w:val="009C548C"/>
    <w:rsid w:val="009C7E0E"/>
    <w:rsid w:val="009D0823"/>
    <w:rsid w:val="009D0A66"/>
    <w:rsid w:val="009E115A"/>
    <w:rsid w:val="009E4039"/>
    <w:rsid w:val="00A1476B"/>
    <w:rsid w:val="00A159FD"/>
    <w:rsid w:val="00A31256"/>
    <w:rsid w:val="00A42BD9"/>
    <w:rsid w:val="00A47128"/>
    <w:rsid w:val="00A51C62"/>
    <w:rsid w:val="00A6398F"/>
    <w:rsid w:val="00A72288"/>
    <w:rsid w:val="00A75BE0"/>
    <w:rsid w:val="00A76ADC"/>
    <w:rsid w:val="00A76BCC"/>
    <w:rsid w:val="00A77BE5"/>
    <w:rsid w:val="00A83DB0"/>
    <w:rsid w:val="00A8530A"/>
    <w:rsid w:val="00A87A1E"/>
    <w:rsid w:val="00A91035"/>
    <w:rsid w:val="00A9420C"/>
    <w:rsid w:val="00A97078"/>
    <w:rsid w:val="00AA1697"/>
    <w:rsid w:val="00AA1960"/>
    <w:rsid w:val="00AA44E7"/>
    <w:rsid w:val="00AA5350"/>
    <w:rsid w:val="00AA7ACC"/>
    <w:rsid w:val="00AE75AC"/>
    <w:rsid w:val="00AF06A2"/>
    <w:rsid w:val="00AF604A"/>
    <w:rsid w:val="00B0358C"/>
    <w:rsid w:val="00B158A6"/>
    <w:rsid w:val="00B166EC"/>
    <w:rsid w:val="00B20207"/>
    <w:rsid w:val="00B542BB"/>
    <w:rsid w:val="00B660C4"/>
    <w:rsid w:val="00B67E0A"/>
    <w:rsid w:val="00B77249"/>
    <w:rsid w:val="00B92862"/>
    <w:rsid w:val="00B93DD9"/>
    <w:rsid w:val="00BA21C8"/>
    <w:rsid w:val="00BA2C58"/>
    <w:rsid w:val="00BA6214"/>
    <w:rsid w:val="00BB31D5"/>
    <w:rsid w:val="00BB69C2"/>
    <w:rsid w:val="00BB6B90"/>
    <w:rsid w:val="00BB6D43"/>
    <w:rsid w:val="00BB7133"/>
    <w:rsid w:val="00BB7A25"/>
    <w:rsid w:val="00BC2E49"/>
    <w:rsid w:val="00BE61F3"/>
    <w:rsid w:val="00BF0EEC"/>
    <w:rsid w:val="00BF148A"/>
    <w:rsid w:val="00BF4E37"/>
    <w:rsid w:val="00BF61B4"/>
    <w:rsid w:val="00C0247A"/>
    <w:rsid w:val="00C15C92"/>
    <w:rsid w:val="00C2744B"/>
    <w:rsid w:val="00C36467"/>
    <w:rsid w:val="00C44F9D"/>
    <w:rsid w:val="00C45A8D"/>
    <w:rsid w:val="00C56CE2"/>
    <w:rsid w:val="00C849C2"/>
    <w:rsid w:val="00C90073"/>
    <w:rsid w:val="00C96DF3"/>
    <w:rsid w:val="00CA19ED"/>
    <w:rsid w:val="00CB13AC"/>
    <w:rsid w:val="00CC69CE"/>
    <w:rsid w:val="00CD2CF8"/>
    <w:rsid w:val="00CE10BC"/>
    <w:rsid w:val="00CE672D"/>
    <w:rsid w:val="00D1033D"/>
    <w:rsid w:val="00D2580C"/>
    <w:rsid w:val="00D267C6"/>
    <w:rsid w:val="00D345FD"/>
    <w:rsid w:val="00D43B8C"/>
    <w:rsid w:val="00D60E96"/>
    <w:rsid w:val="00D8713A"/>
    <w:rsid w:val="00D87BD4"/>
    <w:rsid w:val="00D917A6"/>
    <w:rsid w:val="00DA2149"/>
    <w:rsid w:val="00DA5CD4"/>
    <w:rsid w:val="00DB1479"/>
    <w:rsid w:val="00DD1059"/>
    <w:rsid w:val="00DD4AB2"/>
    <w:rsid w:val="00DE6151"/>
    <w:rsid w:val="00DF52E7"/>
    <w:rsid w:val="00E00735"/>
    <w:rsid w:val="00E1178A"/>
    <w:rsid w:val="00E12EE6"/>
    <w:rsid w:val="00E17B67"/>
    <w:rsid w:val="00E2374E"/>
    <w:rsid w:val="00E2476F"/>
    <w:rsid w:val="00E25C82"/>
    <w:rsid w:val="00E2698A"/>
    <w:rsid w:val="00E26D2C"/>
    <w:rsid w:val="00E33C06"/>
    <w:rsid w:val="00E3444F"/>
    <w:rsid w:val="00E35FDC"/>
    <w:rsid w:val="00E405B9"/>
    <w:rsid w:val="00E428DB"/>
    <w:rsid w:val="00E54B10"/>
    <w:rsid w:val="00E62667"/>
    <w:rsid w:val="00E73F99"/>
    <w:rsid w:val="00E82902"/>
    <w:rsid w:val="00E9578B"/>
    <w:rsid w:val="00E978F3"/>
    <w:rsid w:val="00EA0502"/>
    <w:rsid w:val="00EA3697"/>
    <w:rsid w:val="00EB23C0"/>
    <w:rsid w:val="00EB7DFC"/>
    <w:rsid w:val="00EC4CE0"/>
    <w:rsid w:val="00ED5DBF"/>
    <w:rsid w:val="00EE597D"/>
    <w:rsid w:val="00EF21A8"/>
    <w:rsid w:val="00EF5534"/>
    <w:rsid w:val="00EF7B40"/>
    <w:rsid w:val="00F213F9"/>
    <w:rsid w:val="00F253AC"/>
    <w:rsid w:val="00F264A6"/>
    <w:rsid w:val="00F3045F"/>
    <w:rsid w:val="00F34569"/>
    <w:rsid w:val="00F41601"/>
    <w:rsid w:val="00F4519C"/>
    <w:rsid w:val="00F64EE4"/>
    <w:rsid w:val="00F659A5"/>
    <w:rsid w:val="00F67907"/>
    <w:rsid w:val="00F70018"/>
    <w:rsid w:val="00F701C8"/>
    <w:rsid w:val="00F70581"/>
    <w:rsid w:val="00F70D2B"/>
    <w:rsid w:val="00F8373F"/>
    <w:rsid w:val="00F94783"/>
    <w:rsid w:val="00F95720"/>
    <w:rsid w:val="00FB25E0"/>
    <w:rsid w:val="00FC201B"/>
    <w:rsid w:val="00FC36FE"/>
    <w:rsid w:val="00FD46D9"/>
    <w:rsid w:val="00FF2E6B"/>
    <w:rsid w:val="00FF3B88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1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26D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D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6D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28DB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3B5FF9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3B5FF9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st">
    <w:name w:val="st"/>
    <w:basedOn w:val="Domylnaczcionkaakapitu"/>
    <w:rsid w:val="00F67907"/>
  </w:style>
  <w:style w:type="character" w:styleId="Hipercze">
    <w:name w:val="Hyperlink"/>
    <w:basedOn w:val="Domylnaczcionkaakapitu"/>
    <w:uiPriority w:val="99"/>
    <w:unhideWhenUsed/>
    <w:rsid w:val="00CE10B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B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04"/>
  </w:style>
  <w:style w:type="paragraph" w:styleId="Stopka">
    <w:name w:val="footer"/>
    <w:basedOn w:val="Normalny"/>
    <w:link w:val="StopkaZnak"/>
    <w:uiPriority w:val="99"/>
    <w:unhideWhenUsed/>
    <w:rsid w:val="009A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04"/>
  </w:style>
  <w:style w:type="character" w:customStyle="1" w:styleId="Nagwek2Znak">
    <w:name w:val="Nagłówek 2 Znak"/>
    <w:basedOn w:val="Domylnaczcionkaakapitu"/>
    <w:link w:val="Nagwek2"/>
    <w:uiPriority w:val="9"/>
    <w:rsid w:val="002223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9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4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92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E4B7-DA99-40D2-B184-58632AF4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3909</Words>
  <Characters>23458</Characters>
  <Application>Microsoft Office Word</Application>
  <DocSecurity>4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Magdalena Brzozowska</cp:lastModifiedBy>
  <cp:revision>2</cp:revision>
  <cp:lastPrinted>2017-11-16T09:34:00Z</cp:lastPrinted>
  <dcterms:created xsi:type="dcterms:W3CDTF">2017-11-16T10:08:00Z</dcterms:created>
  <dcterms:modified xsi:type="dcterms:W3CDTF">2017-11-16T10:08:00Z</dcterms:modified>
</cp:coreProperties>
</file>